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1054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9"/>
        <w:gridCol w:w="2386"/>
        <w:gridCol w:w="2217"/>
        <w:gridCol w:w="2156"/>
        <w:gridCol w:w="2248"/>
      </w:tblGrid>
      <w:tr w:rsidR="002A5598" w:rsidTr="00F03C8C">
        <w:trPr>
          <w:jc w:val="center"/>
        </w:trPr>
        <w:tc>
          <w:tcPr>
            <w:tcW w:w="1503" w:type="dxa"/>
            <w:vAlign w:val="center"/>
          </w:tcPr>
          <w:p w:rsidR="002A5598" w:rsidRDefault="002A5598" w:rsidP="00F03C8C">
            <w:pPr>
              <w:pStyle w:val="Intestazione"/>
              <w:tabs>
                <w:tab w:val="clear" w:pos="4819"/>
                <w:tab w:val="clear" w:pos="9638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CE43871" wp14:editId="5A564C1F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9526</wp:posOffset>
                  </wp:positionV>
                  <wp:extent cx="828675" cy="723900"/>
                  <wp:effectExtent l="0" t="0" r="0" b="0"/>
                  <wp:wrapNone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730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  <w:vAlign w:val="center"/>
          </w:tcPr>
          <w:p w:rsidR="002A5598" w:rsidRDefault="002A5598" w:rsidP="00F03C8C">
            <w:pPr>
              <w:pStyle w:val="Intestazione"/>
              <w:tabs>
                <w:tab w:val="clear" w:pos="4819"/>
                <w:tab w:val="clear" w:pos="9638"/>
              </w:tabs>
            </w:pPr>
            <w:r>
              <w:rPr>
                <w:noProof/>
              </w:rPr>
              <w:drawing>
                <wp:inline distT="0" distB="0" distL="0" distR="0" wp14:anchorId="3BB331E1" wp14:editId="648D5ECD">
                  <wp:extent cx="1343025" cy="751806"/>
                  <wp:effectExtent l="0" t="0" r="0" b="0"/>
                  <wp:docPr id="5" name="Immagine 5" descr="C:\Users\faticoni\AppData\Local\Temp\Logo_a_colori_con_denominazion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aticoni\AppData\Local\Temp\Logo_a_colori_con_denominazione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17" b="7447"/>
                          <a:stretch/>
                        </pic:blipFill>
                        <pic:spPr bwMode="auto">
                          <a:xfrm>
                            <a:off x="0" y="0"/>
                            <a:ext cx="1351092" cy="75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  <w:vAlign w:val="center"/>
          </w:tcPr>
          <w:p w:rsidR="002A5598" w:rsidRDefault="002A5598" w:rsidP="00F03C8C">
            <w:pPr>
              <w:pStyle w:val="Intestazione"/>
              <w:tabs>
                <w:tab w:val="clear" w:pos="4819"/>
                <w:tab w:val="clear" w:pos="9638"/>
              </w:tabs>
            </w:pPr>
            <w:r>
              <w:rPr>
                <w:noProof/>
              </w:rPr>
              <w:drawing>
                <wp:inline distT="0" distB="0" distL="0" distR="0" wp14:anchorId="1E7AC50D" wp14:editId="66E650BF">
                  <wp:extent cx="1236640" cy="720000"/>
                  <wp:effectExtent l="0" t="0" r="1905" b="4445"/>
                  <wp:docPr id="8" name="Immagine 8" descr="http://www.il-portico.it/ilgrandevolo/wp-content/uploads/2013/06/INPS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l-portico.it/ilgrandevolo/wp-content/uploads/2013/06/INPS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64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  <w:vAlign w:val="center"/>
          </w:tcPr>
          <w:p w:rsidR="002A5598" w:rsidRDefault="002A5598" w:rsidP="00F03C8C">
            <w:pPr>
              <w:pStyle w:val="Intestazione"/>
              <w:tabs>
                <w:tab w:val="clear" w:pos="4819"/>
                <w:tab w:val="clear" w:pos="9638"/>
              </w:tabs>
            </w:pPr>
            <w:r>
              <w:rPr>
                <w:noProof/>
              </w:rPr>
              <w:drawing>
                <wp:inline distT="0" distB="0" distL="0" distR="0" wp14:anchorId="2CB4A51A" wp14:editId="292E97A2">
                  <wp:extent cx="1190625" cy="476250"/>
                  <wp:effectExtent l="0" t="0" r="9525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  <w:vAlign w:val="center"/>
          </w:tcPr>
          <w:p w:rsidR="002A5598" w:rsidRDefault="002A5598" w:rsidP="00F03C8C">
            <w:pPr>
              <w:pStyle w:val="Intestazione"/>
              <w:tabs>
                <w:tab w:val="clear" w:pos="4819"/>
                <w:tab w:val="clear" w:pos="9638"/>
              </w:tabs>
            </w:pPr>
            <w:r>
              <w:rPr>
                <w:noProof/>
              </w:rPr>
              <w:drawing>
                <wp:inline distT="0" distB="0" distL="0" distR="0" wp14:anchorId="7B7BFCBC" wp14:editId="5E9BC529">
                  <wp:extent cx="1257300" cy="438150"/>
                  <wp:effectExtent l="0" t="0" r="0" b="0"/>
                  <wp:docPr id="10" name="Immagine 10" descr="C:\Users\lifagiol\Desktop\logo-Anp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C:\Users\lifagiol\Desktop\logo-Anp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5598" w:rsidRPr="002A5598" w:rsidRDefault="002A5598" w:rsidP="002A5598">
      <w:pPr>
        <w:ind w:left="284" w:right="-142"/>
        <w:jc w:val="both"/>
        <w:rPr>
          <w:rFonts w:ascii="Arial Narrow" w:hAnsi="Arial Narrow" w:cs="Arial"/>
          <w:b/>
          <w:caps/>
          <w:color w:val="7F7F7F"/>
          <w:sz w:val="20"/>
          <w:szCs w:val="20"/>
        </w:rPr>
      </w:pPr>
    </w:p>
    <w:p w:rsidR="0050783B" w:rsidRDefault="0050783B" w:rsidP="0050783B">
      <w:pPr>
        <w:spacing w:after="120" w:line="312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 Narrow" w:hAnsi="Arial Narrow" w:cs="Arial"/>
          <w:b/>
          <w:caps/>
          <w:color w:val="7F7F7F"/>
          <w:sz w:val="20"/>
          <w:szCs w:val="20"/>
        </w:rPr>
        <w:tab/>
      </w:r>
      <w:r>
        <w:rPr>
          <w:rFonts w:ascii="Arial Narrow" w:hAnsi="Arial Narrow" w:cs="Arial"/>
          <w:b/>
          <w:caps/>
          <w:color w:val="7F7F7F"/>
          <w:sz w:val="20"/>
          <w:szCs w:val="20"/>
        </w:rPr>
        <w:tab/>
      </w:r>
      <w:r>
        <w:rPr>
          <w:rFonts w:ascii="Arial Narrow" w:hAnsi="Arial Narrow" w:cs="Arial"/>
          <w:b/>
          <w:caps/>
          <w:color w:val="7F7F7F"/>
          <w:sz w:val="20"/>
          <w:szCs w:val="20"/>
        </w:rPr>
        <w:tab/>
      </w:r>
      <w:r>
        <w:rPr>
          <w:rFonts w:ascii="Arial Narrow" w:hAnsi="Arial Narrow" w:cs="Arial"/>
          <w:b/>
          <w:caps/>
          <w:color w:val="7F7F7F"/>
          <w:sz w:val="20"/>
          <w:szCs w:val="20"/>
        </w:rPr>
        <w:tab/>
      </w:r>
      <w:r>
        <w:rPr>
          <w:rFonts w:ascii="Arial Narrow" w:hAnsi="Arial Narrow" w:cs="Arial"/>
          <w:b/>
          <w:caps/>
          <w:color w:val="7F7F7F"/>
          <w:sz w:val="20"/>
          <w:szCs w:val="20"/>
        </w:rPr>
        <w:tab/>
      </w:r>
      <w:r>
        <w:rPr>
          <w:rFonts w:ascii="Arial Narrow" w:hAnsi="Arial Narrow" w:cs="Arial"/>
          <w:b/>
          <w:caps/>
          <w:color w:val="7F7F7F"/>
          <w:sz w:val="20"/>
          <w:szCs w:val="20"/>
        </w:rPr>
        <w:tab/>
      </w:r>
      <w:r>
        <w:rPr>
          <w:rFonts w:ascii="Arial Narrow" w:hAnsi="Arial Narrow" w:cs="Arial"/>
          <w:b/>
          <w:caps/>
          <w:color w:val="7F7F7F"/>
          <w:sz w:val="20"/>
          <w:szCs w:val="20"/>
        </w:rPr>
        <w:tab/>
      </w:r>
      <w:r>
        <w:rPr>
          <w:rFonts w:ascii="Arial Narrow" w:hAnsi="Arial Narrow" w:cs="Arial"/>
          <w:b/>
          <w:caps/>
          <w:color w:val="7F7F7F"/>
          <w:sz w:val="20"/>
          <w:szCs w:val="20"/>
        </w:rPr>
        <w:tab/>
      </w:r>
      <w:r w:rsidRPr="000C446F">
        <w:rPr>
          <w:rFonts w:ascii="Arial" w:hAnsi="Arial" w:cs="Arial"/>
          <w:sz w:val="22"/>
          <w:szCs w:val="22"/>
        </w:rPr>
        <w:t xml:space="preserve">Roma, </w:t>
      </w:r>
      <w:r w:rsidR="0073670B">
        <w:rPr>
          <w:rFonts w:ascii="Arial" w:hAnsi="Arial" w:cs="Arial"/>
          <w:sz w:val="22"/>
          <w:szCs w:val="22"/>
        </w:rPr>
        <w:t>25</w:t>
      </w:r>
      <w:r w:rsidRPr="000C446F">
        <w:rPr>
          <w:rFonts w:ascii="Arial" w:hAnsi="Arial" w:cs="Arial"/>
          <w:sz w:val="22"/>
          <w:szCs w:val="22"/>
        </w:rPr>
        <w:t xml:space="preserve"> </w:t>
      </w:r>
      <w:r w:rsidR="0073670B">
        <w:rPr>
          <w:rFonts w:ascii="Arial" w:hAnsi="Arial" w:cs="Arial"/>
          <w:sz w:val="22"/>
          <w:szCs w:val="22"/>
        </w:rPr>
        <w:t xml:space="preserve">febbraio </w:t>
      </w:r>
      <w:r w:rsidRPr="000C446F">
        <w:rPr>
          <w:rFonts w:ascii="Arial" w:hAnsi="Arial" w:cs="Arial"/>
          <w:sz w:val="22"/>
          <w:szCs w:val="22"/>
        </w:rPr>
        <w:t>201</w:t>
      </w:r>
      <w:r w:rsidR="0073670B">
        <w:rPr>
          <w:rFonts w:ascii="Arial" w:hAnsi="Arial" w:cs="Arial"/>
          <w:sz w:val="22"/>
          <w:szCs w:val="22"/>
        </w:rPr>
        <w:t>9</w:t>
      </w:r>
      <w:r w:rsidRPr="000C446F">
        <w:rPr>
          <w:rFonts w:ascii="Arial" w:hAnsi="Arial" w:cs="Arial"/>
          <w:sz w:val="22"/>
          <w:szCs w:val="22"/>
        </w:rPr>
        <w:t xml:space="preserve"> </w:t>
      </w:r>
    </w:p>
    <w:p w:rsidR="002A5598" w:rsidRPr="00C65E59" w:rsidRDefault="002A5598" w:rsidP="002A5598">
      <w:pPr>
        <w:ind w:left="284" w:right="-142"/>
        <w:jc w:val="both"/>
        <w:rPr>
          <w:rFonts w:ascii="Arial Narrow" w:hAnsi="Arial Narrow" w:cs="Arial"/>
          <w:b/>
          <w:caps/>
          <w:color w:val="7F7F7F"/>
          <w:sz w:val="6"/>
          <w:szCs w:val="6"/>
        </w:rPr>
      </w:pPr>
    </w:p>
    <w:p w:rsidR="002A5598" w:rsidRPr="00C65E59" w:rsidRDefault="0050783B" w:rsidP="000C446F">
      <w:pPr>
        <w:ind w:left="284" w:right="-142"/>
        <w:jc w:val="center"/>
        <w:rPr>
          <w:rFonts w:ascii="Arial Narrow" w:hAnsi="Arial Narrow" w:cs="Arial"/>
          <w:b/>
          <w:caps/>
          <w:color w:val="7F7F7F"/>
          <w:sz w:val="44"/>
          <w:szCs w:val="44"/>
        </w:rPr>
      </w:pPr>
      <w:r w:rsidRPr="00C65E59">
        <w:rPr>
          <w:rFonts w:ascii="Arial Narrow" w:hAnsi="Arial Narrow" w:cs="Arial"/>
          <w:b/>
          <w:caps/>
          <w:color w:val="7F7F7F"/>
          <w:sz w:val="44"/>
          <w:szCs w:val="44"/>
        </w:rPr>
        <w:t>RAPPORTO</w:t>
      </w:r>
    </w:p>
    <w:p w:rsidR="000C446F" w:rsidRPr="000C446F" w:rsidRDefault="0050783B" w:rsidP="000C446F">
      <w:pPr>
        <w:ind w:left="284" w:right="-142"/>
        <w:jc w:val="center"/>
        <w:rPr>
          <w:rFonts w:ascii="Arial Narrow" w:hAnsi="Arial Narrow" w:cs="Arial"/>
          <w:b/>
          <w:caps/>
          <w:color w:val="7F7F7F"/>
          <w:sz w:val="44"/>
          <w:szCs w:val="44"/>
        </w:rPr>
      </w:pPr>
      <w:r>
        <w:rPr>
          <w:rFonts w:ascii="Arial Narrow" w:hAnsi="Arial Narrow" w:cs="Arial"/>
          <w:b/>
          <w:caps/>
          <w:color w:val="7F7F7F"/>
          <w:sz w:val="44"/>
          <w:szCs w:val="44"/>
        </w:rPr>
        <w:t>“</w:t>
      </w:r>
      <w:r w:rsidR="000C446F" w:rsidRPr="000C446F">
        <w:rPr>
          <w:rFonts w:ascii="Arial Narrow" w:hAnsi="Arial Narrow" w:cs="Arial"/>
          <w:b/>
          <w:caps/>
          <w:color w:val="7F7F7F"/>
          <w:sz w:val="44"/>
          <w:szCs w:val="44"/>
        </w:rPr>
        <w:t>IL MERCATO DEL LAVORO</w:t>
      </w:r>
      <w:r w:rsidR="0073670B">
        <w:rPr>
          <w:rFonts w:ascii="Arial Narrow" w:hAnsi="Arial Narrow" w:cs="Arial"/>
          <w:b/>
          <w:caps/>
          <w:color w:val="7F7F7F"/>
          <w:sz w:val="44"/>
          <w:szCs w:val="44"/>
        </w:rPr>
        <w:t xml:space="preserve"> 2018.</w:t>
      </w:r>
      <w:r w:rsidR="000C446F" w:rsidRPr="000C446F">
        <w:rPr>
          <w:rFonts w:ascii="Arial Narrow" w:hAnsi="Arial Narrow" w:cs="Arial"/>
          <w:b/>
          <w:caps/>
          <w:color w:val="7F7F7F"/>
          <w:sz w:val="44"/>
          <w:szCs w:val="44"/>
        </w:rPr>
        <w:t xml:space="preserve"> </w:t>
      </w:r>
    </w:p>
    <w:p w:rsidR="000C446F" w:rsidRPr="001A1318" w:rsidRDefault="000C446F" w:rsidP="000C446F">
      <w:pPr>
        <w:ind w:left="284" w:right="-142"/>
        <w:jc w:val="center"/>
        <w:rPr>
          <w:rFonts w:cs="Arial"/>
          <w:caps/>
          <w:color w:val="808080"/>
          <w:sz w:val="40"/>
          <w:szCs w:val="40"/>
        </w:rPr>
      </w:pPr>
      <w:r w:rsidRPr="000C446F">
        <w:rPr>
          <w:rFonts w:ascii="Arial Narrow" w:hAnsi="Arial Narrow" w:cs="Arial"/>
          <w:b/>
          <w:caps/>
          <w:color w:val="7F7F7F"/>
          <w:sz w:val="44"/>
          <w:szCs w:val="44"/>
        </w:rPr>
        <w:t>VERSO UNA LETTURA INTEGRATA</w:t>
      </w:r>
      <w:r w:rsidR="0050783B">
        <w:rPr>
          <w:rFonts w:ascii="Arial Narrow" w:hAnsi="Arial Narrow" w:cs="Arial"/>
          <w:b/>
          <w:caps/>
          <w:color w:val="7F7F7F"/>
          <w:sz w:val="44"/>
          <w:szCs w:val="44"/>
        </w:rPr>
        <w:t>”</w:t>
      </w:r>
      <w:r w:rsidRPr="000C446F">
        <w:rPr>
          <w:rFonts w:ascii="Arial Narrow" w:hAnsi="Arial Narrow" w:cs="Arial"/>
          <w:b/>
          <w:caps/>
          <w:color w:val="7F7F7F"/>
          <w:sz w:val="44"/>
          <w:szCs w:val="44"/>
        </w:rPr>
        <w:t xml:space="preserve"> </w:t>
      </w:r>
    </w:p>
    <w:p w:rsidR="0050783B" w:rsidRPr="00C65E59" w:rsidRDefault="0050783B" w:rsidP="00C016C8">
      <w:pPr>
        <w:spacing w:after="120" w:line="312" w:lineRule="exact"/>
        <w:jc w:val="both"/>
        <w:rPr>
          <w:rFonts w:ascii="Arial" w:hAnsi="Arial" w:cs="Arial"/>
          <w:sz w:val="10"/>
          <w:szCs w:val="10"/>
        </w:rPr>
      </w:pPr>
    </w:p>
    <w:p w:rsidR="001B7411" w:rsidRDefault="001B7411" w:rsidP="0032244A">
      <w:pPr>
        <w:pStyle w:val="Testonormale"/>
        <w:spacing w:after="120"/>
        <w:jc w:val="both"/>
        <w:rPr>
          <w:rFonts w:ascii="Arial" w:hAnsi="Arial" w:cs="Arial"/>
          <w:bCs/>
          <w:kern w:val="28"/>
        </w:rPr>
      </w:pPr>
    </w:p>
    <w:p w:rsidR="000C617E" w:rsidRPr="0032244A" w:rsidRDefault="0032244A" w:rsidP="000C617E">
      <w:pPr>
        <w:pStyle w:val="Testonormale"/>
        <w:spacing w:after="120"/>
        <w:jc w:val="both"/>
        <w:rPr>
          <w:rFonts w:ascii="Arial" w:hAnsi="Arial" w:cs="Arial"/>
          <w:bCs/>
          <w:kern w:val="28"/>
        </w:rPr>
      </w:pPr>
      <w:r w:rsidRPr="00B83F7F">
        <w:rPr>
          <w:rFonts w:ascii="Arial" w:hAnsi="Arial" w:cs="Arial"/>
          <w:bCs/>
          <w:kern w:val="28"/>
        </w:rPr>
        <w:t>Questo Rapporto annuale è frutto della collaborazione sviluppata nell’ambito dell’Accordo quadro tra Ministero del lavoro e delle politiche sociali, Istat, Inps, Inail e Anpal, finalizzato a produrre informazioni armonizzate, complementari e coerenti sulla struttura e la dinamica del mercato del lavoro in Italia. L’obiettivo è valorizzare la ricchezza delle diverse fonti sull’occupazione – amministrative e statistiche – per rispondere alla crescente domanda di una lettura integrata dei dati sul mercato del lavoro</w:t>
      </w:r>
      <w:r w:rsidR="000C617E">
        <w:rPr>
          <w:rFonts w:ascii="Arial" w:hAnsi="Arial" w:cs="Arial"/>
          <w:bCs/>
          <w:kern w:val="28"/>
        </w:rPr>
        <w:t xml:space="preserve"> e</w:t>
      </w:r>
      <w:r w:rsidR="000C617E" w:rsidRPr="00B83F7F">
        <w:rPr>
          <w:rFonts w:ascii="Arial" w:hAnsi="Arial" w:cs="Arial"/>
          <w:bCs/>
          <w:kern w:val="28"/>
        </w:rPr>
        <w:t xml:space="preserve"> fornire una base empirica e analitica utile a favorire lo sviluppo del dibattito pubblico </w:t>
      </w:r>
      <w:r w:rsidR="000C617E">
        <w:rPr>
          <w:rFonts w:ascii="Arial" w:hAnsi="Arial" w:cs="Arial"/>
          <w:bCs/>
          <w:kern w:val="28"/>
        </w:rPr>
        <w:t>su questo tema</w:t>
      </w:r>
      <w:r w:rsidR="000C617E" w:rsidRPr="00B83F7F">
        <w:rPr>
          <w:rFonts w:ascii="Arial" w:hAnsi="Arial" w:cs="Arial"/>
          <w:bCs/>
          <w:kern w:val="28"/>
        </w:rPr>
        <w:t>.</w:t>
      </w:r>
    </w:p>
    <w:p w:rsidR="003815C3" w:rsidRPr="00B83F7F" w:rsidRDefault="000C617E" w:rsidP="003815C3">
      <w:pPr>
        <w:pStyle w:val="Testonormale"/>
        <w:spacing w:after="120"/>
        <w:jc w:val="both"/>
        <w:rPr>
          <w:rFonts w:ascii="Arial" w:hAnsi="Arial" w:cs="Arial"/>
          <w:bCs/>
          <w:kern w:val="28"/>
        </w:rPr>
      </w:pPr>
      <w:r>
        <w:rPr>
          <w:rFonts w:ascii="Arial" w:hAnsi="Arial" w:cs="Arial"/>
          <w:bCs/>
          <w:kern w:val="28"/>
        </w:rPr>
        <w:t>L</w:t>
      </w:r>
      <w:r w:rsidR="003815C3" w:rsidRPr="003815C3">
        <w:rPr>
          <w:rFonts w:ascii="Arial" w:hAnsi="Arial" w:cs="Arial"/>
          <w:bCs/>
          <w:kern w:val="28"/>
        </w:rPr>
        <w:t>’Accordo, in scadenza a dicembre 2018, è stato prorogato fino a dicembre 2021 per</w:t>
      </w:r>
      <w:r w:rsidR="003815C3">
        <w:rPr>
          <w:rFonts w:ascii="Arial" w:hAnsi="Arial" w:cs="Arial"/>
          <w:bCs/>
          <w:kern w:val="28"/>
        </w:rPr>
        <w:t xml:space="preserve"> </w:t>
      </w:r>
      <w:r w:rsidR="003815C3" w:rsidRPr="003815C3">
        <w:rPr>
          <w:rFonts w:ascii="Arial" w:hAnsi="Arial" w:cs="Arial"/>
          <w:bCs/>
          <w:kern w:val="28"/>
        </w:rPr>
        <w:t>proseguire la collaborazione e completare il percorso avviato</w:t>
      </w:r>
      <w:r w:rsidR="00884F3A">
        <w:rPr>
          <w:rFonts w:ascii="Arial" w:hAnsi="Arial" w:cs="Arial"/>
          <w:bCs/>
          <w:kern w:val="28"/>
        </w:rPr>
        <w:t xml:space="preserve"> e in virtù della proficua c</w:t>
      </w:r>
      <w:r w:rsidR="00884F3A" w:rsidRPr="003815C3">
        <w:rPr>
          <w:rFonts w:ascii="Arial" w:hAnsi="Arial" w:cs="Arial"/>
          <w:bCs/>
          <w:kern w:val="28"/>
        </w:rPr>
        <w:t>ooperazione inter</w:t>
      </w:r>
      <w:r w:rsidR="00884F3A">
        <w:rPr>
          <w:rFonts w:ascii="Arial" w:hAnsi="Arial" w:cs="Arial"/>
          <w:bCs/>
          <w:kern w:val="28"/>
        </w:rPr>
        <w:t>-</w:t>
      </w:r>
      <w:r w:rsidR="00884F3A" w:rsidRPr="003815C3">
        <w:rPr>
          <w:rFonts w:ascii="Arial" w:hAnsi="Arial" w:cs="Arial"/>
          <w:bCs/>
          <w:kern w:val="28"/>
        </w:rPr>
        <w:t>istituzionale sviluppata nell’arco di un triennio</w:t>
      </w:r>
      <w:r w:rsidR="003815C3" w:rsidRPr="003815C3">
        <w:rPr>
          <w:rFonts w:ascii="Arial" w:hAnsi="Arial" w:cs="Arial"/>
          <w:bCs/>
          <w:kern w:val="28"/>
        </w:rPr>
        <w:t>.</w:t>
      </w:r>
    </w:p>
    <w:p w:rsidR="00884F3A" w:rsidRDefault="00703D48" w:rsidP="0032244A">
      <w:pPr>
        <w:pStyle w:val="Testonormale"/>
        <w:spacing w:after="120"/>
        <w:jc w:val="both"/>
        <w:rPr>
          <w:rFonts w:ascii="Arial" w:hAnsi="Arial" w:cs="Arial"/>
          <w:bCs/>
          <w:kern w:val="28"/>
        </w:rPr>
      </w:pPr>
      <w:r w:rsidRPr="00B83F7F">
        <w:rPr>
          <w:rFonts w:ascii="Arial" w:hAnsi="Arial" w:cs="Arial"/>
          <w:bCs/>
          <w:kern w:val="28"/>
        </w:rPr>
        <w:t>Oltre a</w:t>
      </w:r>
      <w:r w:rsidR="003A40B2" w:rsidRPr="00B83F7F">
        <w:rPr>
          <w:rFonts w:ascii="Arial" w:hAnsi="Arial" w:cs="Arial"/>
          <w:bCs/>
          <w:kern w:val="28"/>
        </w:rPr>
        <w:t>l</w:t>
      </w:r>
      <w:r w:rsidRPr="00B83F7F">
        <w:rPr>
          <w:rFonts w:ascii="Arial" w:hAnsi="Arial" w:cs="Arial"/>
          <w:bCs/>
          <w:kern w:val="28"/>
        </w:rPr>
        <w:t xml:space="preserve"> Rapporto e alla Nota trimestrale sulle tendenze dell’occupazione, ormai a regime </w:t>
      </w:r>
      <w:r w:rsidR="004332A1" w:rsidRPr="00B83F7F">
        <w:rPr>
          <w:rFonts w:ascii="Arial" w:hAnsi="Arial" w:cs="Arial"/>
          <w:bCs/>
          <w:kern w:val="28"/>
        </w:rPr>
        <w:t>da due anni</w:t>
      </w:r>
      <w:r w:rsidRPr="00B83F7F">
        <w:rPr>
          <w:rFonts w:ascii="Arial" w:hAnsi="Arial" w:cs="Arial"/>
          <w:bCs/>
          <w:kern w:val="28"/>
        </w:rPr>
        <w:t>, l’</w:t>
      </w:r>
      <w:r w:rsidR="00647E25">
        <w:rPr>
          <w:rFonts w:ascii="Arial" w:hAnsi="Arial" w:cs="Arial"/>
          <w:bCs/>
          <w:kern w:val="28"/>
        </w:rPr>
        <w:t>A</w:t>
      </w:r>
      <w:r w:rsidRPr="00B83F7F">
        <w:rPr>
          <w:rFonts w:ascii="Arial" w:hAnsi="Arial" w:cs="Arial"/>
          <w:bCs/>
          <w:kern w:val="28"/>
        </w:rPr>
        <w:t xml:space="preserve">ccordo prevede lo </w:t>
      </w:r>
      <w:r w:rsidR="0032244A" w:rsidRPr="00B83F7F">
        <w:rPr>
          <w:rFonts w:ascii="Arial" w:hAnsi="Arial" w:cs="Arial"/>
          <w:bCs/>
          <w:kern w:val="28"/>
        </w:rPr>
        <w:t>sviluppo</w:t>
      </w:r>
      <w:r w:rsidR="001D4B43" w:rsidRPr="00B83F7F">
        <w:rPr>
          <w:rFonts w:ascii="Arial" w:hAnsi="Arial" w:cs="Arial"/>
          <w:bCs/>
          <w:kern w:val="28"/>
        </w:rPr>
        <w:t>, tuttora in</w:t>
      </w:r>
      <w:r w:rsidRPr="00B83F7F">
        <w:rPr>
          <w:rFonts w:ascii="Arial" w:hAnsi="Arial" w:cs="Arial"/>
          <w:bCs/>
          <w:kern w:val="28"/>
        </w:rPr>
        <w:t xml:space="preserve"> corso, di un Sistema informativo statistico</w:t>
      </w:r>
      <w:r w:rsidR="00884F3A" w:rsidRPr="00884F3A">
        <w:rPr>
          <w:rFonts w:ascii="Arial" w:hAnsi="Arial" w:cs="Arial"/>
          <w:bCs/>
          <w:kern w:val="28"/>
        </w:rPr>
        <w:t xml:space="preserve"> </w:t>
      </w:r>
      <w:r w:rsidR="00884F3A">
        <w:rPr>
          <w:rFonts w:ascii="Arial" w:hAnsi="Arial" w:cs="Arial"/>
          <w:bCs/>
          <w:kern w:val="28"/>
        </w:rPr>
        <w:t xml:space="preserve">sul lavoro </w:t>
      </w:r>
      <w:r w:rsidR="00884F3A" w:rsidRPr="00B83F7F">
        <w:rPr>
          <w:rFonts w:ascii="Arial" w:hAnsi="Arial" w:cs="Arial"/>
          <w:bCs/>
          <w:kern w:val="28"/>
        </w:rPr>
        <w:t>accessibile a tutte le istituzioni e al mondo della ricerca</w:t>
      </w:r>
      <w:r w:rsidR="00884F3A">
        <w:rPr>
          <w:rFonts w:ascii="Arial" w:hAnsi="Arial" w:cs="Arial"/>
          <w:bCs/>
          <w:kern w:val="28"/>
        </w:rPr>
        <w:t xml:space="preserve">, </w:t>
      </w:r>
      <w:r w:rsidRPr="00B83F7F">
        <w:rPr>
          <w:rFonts w:ascii="Arial" w:hAnsi="Arial" w:cs="Arial"/>
          <w:bCs/>
          <w:kern w:val="28"/>
        </w:rPr>
        <w:t xml:space="preserve">che sarà collocato </w:t>
      </w:r>
      <w:r w:rsidR="00884F3A">
        <w:rPr>
          <w:rFonts w:ascii="Arial" w:hAnsi="Arial" w:cs="Arial"/>
          <w:bCs/>
          <w:kern w:val="28"/>
        </w:rPr>
        <w:t xml:space="preserve">presso </w:t>
      </w:r>
      <w:r w:rsidRPr="00B83F7F">
        <w:rPr>
          <w:rFonts w:ascii="Arial" w:hAnsi="Arial" w:cs="Arial"/>
          <w:bCs/>
          <w:kern w:val="28"/>
        </w:rPr>
        <w:t>l’Istituto nazionale di statisti</w:t>
      </w:r>
      <w:r w:rsidR="00884F3A">
        <w:rPr>
          <w:rFonts w:ascii="Arial" w:hAnsi="Arial" w:cs="Arial"/>
          <w:bCs/>
          <w:kern w:val="28"/>
        </w:rPr>
        <w:t>ca.</w:t>
      </w:r>
    </w:p>
    <w:p w:rsidR="0032244A" w:rsidRPr="00B83F7F" w:rsidRDefault="0032244A" w:rsidP="0032244A">
      <w:pPr>
        <w:pStyle w:val="Testonormale"/>
        <w:spacing w:after="120"/>
        <w:jc w:val="both"/>
        <w:rPr>
          <w:rFonts w:ascii="Arial" w:hAnsi="Arial" w:cs="Arial"/>
          <w:bCs/>
          <w:kern w:val="28"/>
        </w:rPr>
      </w:pPr>
      <w:r w:rsidRPr="00B83F7F">
        <w:rPr>
          <w:rFonts w:ascii="Arial" w:hAnsi="Arial" w:cs="Arial"/>
          <w:bCs/>
          <w:kern w:val="28"/>
        </w:rPr>
        <w:t>Gli approfondimenti presentati nel</w:t>
      </w:r>
      <w:r w:rsidR="00884F3A">
        <w:rPr>
          <w:rFonts w:ascii="Arial" w:hAnsi="Arial" w:cs="Arial"/>
          <w:bCs/>
          <w:kern w:val="28"/>
        </w:rPr>
        <w:t xml:space="preserve"> volume che presentiamo oggi </w:t>
      </w:r>
      <w:r w:rsidRPr="00B83F7F">
        <w:rPr>
          <w:rFonts w:ascii="Arial" w:hAnsi="Arial" w:cs="Arial"/>
          <w:bCs/>
          <w:kern w:val="28"/>
        </w:rPr>
        <w:t>affrontano più tematiche intrecciando gli aspetti congiunturali e ciclici con l’evoluzione del quadro strutturale, segnato dall’uscita da una rec</w:t>
      </w:r>
      <w:r w:rsidR="00E51741">
        <w:rPr>
          <w:rFonts w:ascii="Arial" w:hAnsi="Arial" w:cs="Arial"/>
          <w:bCs/>
          <w:kern w:val="28"/>
        </w:rPr>
        <w:t>e</w:t>
      </w:r>
      <w:r w:rsidRPr="00B83F7F">
        <w:rPr>
          <w:rFonts w:ascii="Arial" w:hAnsi="Arial" w:cs="Arial"/>
          <w:bCs/>
          <w:kern w:val="28"/>
        </w:rPr>
        <w:t>ssione profonda e persistente che ha modificato significativamente la struttura produttiva italiana</w:t>
      </w:r>
      <w:r w:rsidR="00BC2639" w:rsidRPr="00B83F7F">
        <w:rPr>
          <w:rFonts w:ascii="Arial" w:hAnsi="Arial" w:cs="Arial"/>
          <w:bCs/>
          <w:kern w:val="28"/>
        </w:rPr>
        <w:t>, le caratteristiche dell’occupazione</w:t>
      </w:r>
      <w:r w:rsidRPr="00B83F7F">
        <w:rPr>
          <w:rFonts w:ascii="Arial" w:hAnsi="Arial" w:cs="Arial"/>
          <w:bCs/>
          <w:kern w:val="28"/>
        </w:rPr>
        <w:t xml:space="preserve"> e i comportamenti individuali. </w:t>
      </w:r>
    </w:p>
    <w:p w:rsidR="001D4B43" w:rsidRPr="0066495C" w:rsidRDefault="0032244A" w:rsidP="0032244A">
      <w:pPr>
        <w:pStyle w:val="Testonormale"/>
        <w:spacing w:after="120"/>
        <w:jc w:val="both"/>
        <w:rPr>
          <w:rFonts w:ascii="Arial" w:hAnsi="Arial" w:cs="Arial"/>
          <w:bCs/>
          <w:kern w:val="28"/>
        </w:rPr>
      </w:pPr>
      <w:r w:rsidRPr="00E51741">
        <w:rPr>
          <w:rFonts w:ascii="Arial" w:hAnsi="Arial" w:cs="Arial"/>
          <w:bCs/>
          <w:kern w:val="28"/>
        </w:rPr>
        <w:t>Le diverse analisi descriv</w:t>
      </w:r>
      <w:r w:rsidR="00E51741" w:rsidRPr="00E51741">
        <w:rPr>
          <w:rFonts w:ascii="Arial" w:hAnsi="Arial" w:cs="Arial"/>
          <w:bCs/>
          <w:kern w:val="28"/>
        </w:rPr>
        <w:t>ono</w:t>
      </w:r>
      <w:r w:rsidRPr="00E51741">
        <w:rPr>
          <w:rFonts w:ascii="Arial" w:hAnsi="Arial" w:cs="Arial"/>
          <w:bCs/>
          <w:kern w:val="28"/>
        </w:rPr>
        <w:t xml:space="preserve"> un quadro </w:t>
      </w:r>
      <w:r w:rsidR="00B83F7F" w:rsidRPr="00E51741">
        <w:rPr>
          <w:rFonts w:ascii="Arial" w:hAnsi="Arial" w:cs="Arial"/>
          <w:bCs/>
          <w:kern w:val="28"/>
        </w:rPr>
        <w:t>c</w:t>
      </w:r>
      <w:r w:rsidR="00F4156D">
        <w:rPr>
          <w:rFonts w:ascii="Arial" w:hAnsi="Arial" w:cs="Arial"/>
          <w:bCs/>
          <w:kern w:val="28"/>
        </w:rPr>
        <w:t>he esprime un elevato potenziale di sviluppo del mercato del lavoro, insieme a criticità che la ripresa economica degli ultimi anni ha solo in parte attenuato</w:t>
      </w:r>
      <w:r w:rsidR="00A257BD">
        <w:rPr>
          <w:rFonts w:ascii="Arial" w:hAnsi="Arial" w:cs="Arial"/>
          <w:bCs/>
          <w:kern w:val="28"/>
        </w:rPr>
        <w:t>.</w:t>
      </w:r>
      <w:r w:rsidR="00B83F7F" w:rsidRPr="00E51741">
        <w:rPr>
          <w:rFonts w:ascii="Arial" w:hAnsi="Arial" w:cs="Arial"/>
          <w:bCs/>
          <w:kern w:val="28"/>
        </w:rPr>
        <w:t xml:space="preserve"> </w:t>
      </w:r>
      <w:r w:rsidR="00A257BD">
        <w:rPr>
          <w:rFonts w:ascii="Arial" w:hAnsi="Arial" w:cs="Arial"/>
          <w:bCs/>
          <w:kern w:val="28"/>
        </w:rPr>
        <w:t>D</w:t>
      </w:r>
      <w:r w:rsidR="00A257BD" w:rsidRPr="00E51741">
        <w:rPr>
          <w:rFonts w:ascii="Arial" w:hAnsi="Arial" w:cs="Arial"/>
          <w:bCs/>
          <w:kern w:val="28"/>
        </w:rPr>
        <w:t xml:space="preserve">a un lato </w:t>
      </w:r>
      <w:r w:rsidR="00F4156D">
        <w:rPr>
          <w:rFonts w:ascii="Arial" w:hAnsi="Arial" w:cs="Arial"/>
          <w:bCs/>
          <w:kern w:val="28"/>
        </w:rPr>
        <w:t xml:space="preserve">emergono </w:t>
      </w:r>
      <w:r w:rsidR="00B83F7F" w:rsidRPr="00E51741">
        <w:rPr>
          <w:rFonts w:ascii="Arial" w:hAnsi="Arial" w:cs="Arial"/>
          <w:bCs/>
          <w:kern w:val="28"/>
        </w:rPr>
        <w:t>evidenze di un</w:t>
      </w:r>
      <w:r w:rsidRPr="00E51741">
        <w:rPr>
          <w:rFonts w:ascii="Arial" w:hAnsi="Arial" w:cs="Arial"/>
          <w:bCs/>
          <w:kern w:val="28"/>
        </w:rPr>
        <w:t xml:space="preserve"> miglioramento</w:t>
      </w:r>
      <w:r w:rsidR="00884F3A">
        <w:rPr>
          <w:rFonts w:ascii="Arial" w:hAnsi="Arial" w:cs="Arial"/>
          <w:bCs/>
          <w:kern w:val="28"/>
        </w:rPr>
        <w:t>,</w:t>
      </w:r>
      <w:r w:rsidRPr="00E51741">
        <w:rPr>
          <w:rFonts w:ascii="Arial" w:hAnsi="Arial" w:cs="Arial"/>
          <w:bCs/>
          <w:kern w:val="28"/>
        </w:rPr>
        <w:t xml:space="preserve"> </w:t>
      </w:r>
      <w:r w:rsidR="000F5657" w:rsidRPr="00E51741">
        <w:rPr>
          <w:rFonts w:ascii="Arial" w:hAnsi="Arial" w:cs="Arial"/>
          <w:bCs/>
          <w:kern w:val="28"/>
        </w:rPr>
        <w:t xml:space="preserve">in cui fattori di fondo </w:t>
      </w:r>
      <w:r w:rsidRPr="00E51741">
        <w:rPr>
          <w:rFonts w:ascii="Arial" w:hAnsi="Arial" w:cs="Arial"/>
          <w:bCs/>
          <w:kern w:val="28"/>
        </w:rPr>
        <w:t>– demografici e sociali, di selezione i</w:t>
      </w:r>
      <w:r w:rsidR="000F5657" w:rsidRPr="00E51741">
        <w:rPr>
          <w:rFonts w:ascii="Arial" w:hAnsi="Arial" w:cs="Arial"/>
          <w:bCs/>
          <w:kern w:val="28"/>
        </w:rPr>
        <w:t xml:space="preserve">nterna e risposte ai mutamenti </w:t>
      </w:r>
      <w:r w:rsidRPr="00E51741">
        <w:rPr>
          <w:rFonts w:ascii="Arial" w:hAnsi="Arial" w:cs="Arial"/>
          <w:bCs/>
          <w:kern w:val="28"/>
        </w:rPr>
        <w:t xml:space="preserve">tecnologici delle imprese – </w:t>
      </w:r>
      <w:r w:rsidR="0009126D">
        <w:rPr>
          <w:rFonts w:ascii="Arial" w:hAnsi="Arial" w:cs="Arial"/>
          <w:bCs/>
          <w:kern w:val="28"/>
        </w:rPr>
        <w:t>e</w:t>
      </w:r>
      <w:r w:rsidRPr="00E51741">
        <w:rPr>
          <w:rFonts w:ascii="Arial" w:hAnsi="Arial" w:cs="Arial"/>
          <w:bCs/>
          <w:kern w:val="28"/>
        </w:rPr>
        <w:t xml:space="preserve"> di più breve periodo </w:t>
      </w:r>
      <w:r w:rsidR="00B83F7F" w:rsidRPr="00E51741">
        <w:rPr>
          <w:rFonts w:ascii="Arial" w:hAnsi="Arial" w:cs="Arial"/>
          <w:bCs/>
          <w:kern w:val="28"/>
        </w:rPr>
        <w:t xml:space="preserve">hanno </w:t>
      </w:r>
      <w:r w:rsidR="00A257BD">
        <w:rPr>
          <w:rFonts w:ascii="Arial" w:hAnsi="Arial" w:cs="Arial"/>
          <w:bCs/>
          <w:kern w:val="28"/>
        </w:rPr>
        <w:t>contribuito</w:t>
      </w:r>
      <w:r w:rsidR="00A257BD" w:rsidRPr="00E51741">
        <w:rPr>
          <w:rFonts w:ascii="Arial" w:hAnsi="Arial" w:cs="Arial"/>
          <w:bCs/>
          <w:kern w:val="28"/>
        </w:rPr>
        <w:t xml:space="preserve"> </w:t>
      </w:r>
      <w:r w:rsidRPr="00E51741">
        <w:rPr>
          <w:rFonts w:ascii="Arial" w:hAnsi="Arial" w:cs="Arial"/>
          <w:bCs/>
          <w:kern w:val="28"/>
        </w:rPr>
        <w:t xml:space="preserve">a una </w:t>
      </w:r>
      <w:r w:rsidR="00F4156D">
        <w:rPr>
          <w:rFonts w:ascii="Arial" w:hAnsi="Arial" w:cs="Arial"/>
          <w:bCs/>
          <w:kern w:val="28"/>
        </w:rPr>
        <w:t xml:space="preserve">prolungata </w:t>
      </w:r>
      <w:r w:rsidRPr="00E51741">
        <w:rPr>
          <w:rFonts w:ascii="Arial" w:hAnsi="Arial" w:cs="Arial"/>
          <w:bCs/>
          <w:kern w:val="28"/>
        </w:rPr>
        <w:t>ripresa</w:t>
      </w:r>
      <w:r w:rsidR="00A257BD">
        <w:rPr>
          <w:rFonts w:ascii="Arial" w:hAnsi="Arial" w:cs="Arial"/>
          <w:bCs/>
          <w:kern w:val="28"/>
        </w:rPr>
        <w:t>;</w:t>
      </w:r>
      <w:r w:rsidR="00A257BD" w:rsidRPr="00E51741">
        <w:rPr>
          <w:rFonts w:ascii="Arial" w:hAnsi="Arial" w:cs="Arial"/>
          <w:bCs/>
          <w:kern w:val="28"/>
        </w:rPr>
        <w:t xml:space="preserve"> </w:t>
      </w:r>
      <w:r w:rsidR="00B83F7F" w:rsidRPr="00E51741">
        <w:rPr>
          <w:rFonts w:ascii="Arial" w:hAnsi="Arial" w:cs="Arial"/>
          <w:bCs/>
          <w:kern w:val="28"/>
        </w:rPr>
        <w:t xml:space="preserve">dall’altro </w:t>
      </w:r>
      <w:r w:rsidR="00A257BD">
        <w:rPr>
          <w:rFonts w:ascii="Arial" w:hAnsi="Arial" w:cs="Arial"/>
          <w:bCs/>
          <w:kern w:val="28"/>
        </w:rPr>
        <w:t>permane</w:t>
      </w:r>
      <w:r w:rsidR="003815C3" w:rsidRPr="00E51741">
        <w:rPr>
          <w:rFonts w:ascii="Arial" w:hAnsi="Arial" w:cs="Arial"/>
          <w:bCs/>
          <w:kern w:val="28"/>
        </w:rPr>
        <w:t xml:space="preserve"> un</w:t>
      </w:r>
      <w:r w:rsidR="00A257BD">
        <w:rPr>
          <w:rFonts w:ascii="Arial" w:hAnsi="Arial" w:cs="Arial"/>
          <w:bCs/>
          <w:kern w:val="28"/>
        </w:rPr>
        <w:t>’</w:t>
      </w:r>
      <w:r w:rsidR="003815C3" w:rsidRPr="00E51741">
        <w:rPr>
          <w:rFonts w:ascii="Arial" w:hAnsi="Arial" w:cs="Arial"/>
          <w:bCs/>
          <w:kern w:val="28"/>
        </w:rPr>
        <w:t xml:space="preserve">ampia area </w:t>
      </w:r>
      <w:r w:rsidR="00884F3A" w:rsidRPr="00E51741">
        <w:rPr>
          <w:rFonts w:ascii="Arial" w:hAnsi="Arial" w:cs="Arial"/>
          <w:bCs/>
          <w:kern w:val="28"/>
        </w:rPr>
        <w:t>d’</w:t>
      </w:r>
      <w:r w:rsidR="003815C3" w:rsidRPr="00E51741">
        <w:rPr>
          <w:rFonts w:ascii="Arial" w:hAnsi="Arial" w:cs="Arial"/>
          <w:bCs/>
          <w:kern w:val="28"/>
        </w:rPr>
        <w:t>inoccupazione e sottoccupazione</w:t>
      </w:r>
      <w:r w:rsidR="00A257BD">
        <w:rPr>
          <w:rFonts w:ascii="Arial" w:hAnsi="Arial" w:cs="Arial"/>
          <w:bCs/>
          <w:kern w:val="28"/>
        </w:rPr>
        <w:t>,</w:t>
      </w:r>
      <w:r w:rsidR="003815C3" w:rsidRPr="00E51741">
        <w:rPr>
          <w:rFonts w:ascii="Arial" w:hAnsi="Arial" w:cs="Arial"/>
          <w:bCs/>
          <w:kern w:val="28"/>
        </w:rPr>
        <w:t xml:space="preserve"> </w:t>
      </w:r>
      <w:r w:rsidR="00A257BD">
        <w:rPr>
          <w:rFonts w:ascii="Arial" w:hAnsi="Arial" w:cs="Arial"/>
          <w:bCs/>
          <w:kern w:val="28"/>
        </w:rPr>
        <w:t xml:space="preserve">di disallineamenti </w:t>
      </w:r>
      <w:r w:rsidR="00A257BD" w:rsidRPr="00E51741">
        <w:rPr>
          <w:rFonts w:ascii="Arial" w:hAnsi="Arial" w:cs="Arial"/>
          <w:bCs/>
          <w:kern w:val="28"/>
        </w:rPr>
        <w:t xml:space="preserve">formativi e di </w:t>
      </w:r>
      <w:r w:rsidR="00A257BD">
        <w:rPr>
          <w:rFonts w:ascii="Arial" w:hAnsi="Arial" w:cs="Arial"/>
          <w:bCs/>
          <w:kern w:val="28"/>
        </w:rPr>
        <w:t>basso</w:t>
      </w:r>
      <w:r w:rsidR="00A257BD" w:rsidRPr="00E51741">
        <w:rPr>
          <w:rFonts w:ascii="Arial" w:hAnsi="Arial" w:cs="Arial"/>
          <w:bCs/>
          <w:kern w:val="28"/>
        </w:rPr>
        <w:t xml:space="preserve"> </w:t>
      </w:r>
      <w:r w:rsidR="00A257BD">
        <w:rPr>
          <w:rFonts w:ascii="Arial" w:hAnsi="Arial" w:cs="Arial"/>
          <w:bCs/>
          <w:kern w:val="28"/>
        </w:rPr>
        <w:t xml:space="preserve">livello </w:t>
      </w:r>
      <w:r w:rsidR="00A257BD" w:rsidRPr="00E51741">
        <w:rPr>
          <w:rFonts w:ascii="Arial" w:hAnsi="Arial" w:cs="Arial"/>
          <w:bCs/>
          <w:kern w:val="28"/>
        </w:rPr>
        <w:t xml:space="preserve">delle </w:t>
      </w:r>
      <w:r w:rsidR="00A257BD">
        <w:rPr>
          <w:rFonts w:ascii="Arial" w:hAnsi="Arial" w:cs="Arial"/>
          <w:bCs/>
          <w:kern w:val="28"/>
        </w:rPr>
        <w:t>qualifiche, che si intrecciano con</w:t>
      </w:r>
      <w:r w:rsidR="00A257BD" w:rsidRPr="00E51741">
        <w:rPr>
          <w:rFonts w:ascii="Arial" w:hAnsi="Arial" w:cs="Arial"/>
          <w:bCs/>
          <w:kern w:val="28"/>
        </w:rPr>
        <w:t xml:space="preserve"> </w:t>
      </w:r>
      <w:r w:rsidR="00A257BD">
        <w:rPr>
          <w:rFonts w:ascii="Arial" w:hAnsi="Arial" w:cs="Arial"/>
          <w:bCs/>
          <w:kern w:val="28"/>
        </w:rPr>
        <w:t>l’acuirsi</w:t>
      </w:r>
      <w:r w:rsidR="00B83F7F" w:rsidRPr="00E51741">
        <w:rPr>
          <w:rFonts w:ascii="Arial" w:hAnsi="Arial" w:cs="Arial"/>
          <w:bCs/>
          <w:kern w:val="28"/>
        </w:rPr>
        <w:t xml:space="preserve"> </w:t>
      </w:r>
      <w:r w:rsidR="00A257BD">
        <w:rPr>
          <w:rFonts w:ascii="Arial" w:hAnsi="Arial" w:cs="Arial"/>
          <w:bCs/>
          <w:kern w:val="28"/>
        </w:rPr>
        <w:t>degli</w:t>
      </w:r>
      <w:r w:rsidR="00A257BD" w:rsidRPr="00E51741">
        <w:rPr>
          <w:rFonts w:ascii="Arial" w:hAnsi="Arial" w:cs="Arial"/>
          <w:bCs/>
          <w:kern w:val="28"/>
        </w:rPr>
        <w:t xml:space="preserve"> </w:t>
      </w:r>
      <w:r w:rsidR="003815C3" w:rsidRPr="00E51741">
        <w:rPr>
          <w:rFonts w:ascii="Arial" w:hAnsi="Arial" w:cs="Arial"/>
          <w:bCs/>
          <w:kern w:val="28"/>
        </w:rPr>
        <w:t>squilibri territoriali.</w:t>
      </w:r>
      <w:r w:rsidRPr="0066495C">
        <w:rPr>
          <w:rFonts w:ascii="Arial" w:hAnsi="Arial" w:cs="Arial"/>
          <w:bCs/>
          <w:kern w:val="28"/>
        </w:rPr>
        <w:t xml:space="preserve"> </w:t>
      </w:r>
    </w:p>
    <w:p w:rsidR="00206ECA" w:rsidRPr="00C65E59" w:rsidRDefault="00206ECA" w:rsidP="00740812">
      <w:pPr>
        <w:pStyle w:val="Testonormale"/>
        <w:spacing w:after="120"/>
        <w:jc w:val="both"/>
        <w:rPr>
          <w:rFonts w:ascii="Arial" w:hAnsi="Arial" w:cs="Arial"/>
          <w:bCs/>
          <w:kern w:val="28"/>
          <w:sz w:val="8"/>
          <w:szCs w:val="8"/>
        </w:rPr>
      </w:pPr>
    </w:p>
    <w:p w:rsidR="00A43F47" w:rsidRDefault="000C617E" w:rsidP="00516302">
      <w:pPr>
        <w:spacing w:after="160" w:line="259" w:lineRule="auto"/>
        <w:rPr>
          <w:rFonts w:ascii="Arial" w:hAnsi="Arial" w:cs="Arial"/>
          <w:b/>
          <w:bCs/>
          <w:kern w:val="28"/>
        </w:rPr>
      </w:pPr>
      <w:r w:rsidRPr="00516302">
        <w:rPr>
          <w:rFonts w:ascii="Arial" w:hAnsi="Arial" w:cs="Arial"/>
          <w:b/>
          <w:bCs/>
          <w:kern w:val="28"/>
        </w:rPr>
        <w:t>Il Rapporto in sintesi</w:t>
      </w:r>
    </w:p>
    <w:p w:rsidR="000C617E" w:rsidRPr="00516302" w:rsidRDefault="000C617E" w:rsidP="00516302">
      <w:pPr>
        <w:spacing w:after="160" w:line="259" w:lineRule="auto"/>
        <w:rPr>
          <w:rFonts w:ascii="Arial" w:hAnsi="Arial" w:cs="Arial"/>
          <w:b/>
          <w:bCs/>
          <w:kern w:val="28"/>
          <w:sz w:val="6"/>
          <w:szCs w:val="6"/>
        </w:rPr>
      </w:pPr>
    </w:p>
    <w:p w:rsidR="00C65E59" w:rsidRPr="000B5F48" w:rsidRDefault="000B5F48" w:rsidP="00D50433">
      <w:pPr>
        <w:pStyle w:val="Testonormale"/>
        <w:spacing w:after="120"/>
        <w:ind w:left="284" w:hanging="284"/>
        <w:jc w:val="both"/>
        <w:rPr>
          <w:rFonts w:ascii="Arial" w:hAnsi="Arial" w:cs="Arial"/>
          <w:b/>
          <w:bCs/>
          <w:kern w:val="28"/>
          <w:sz w:val="22"/>
          <w:szCs w:val="22"/>
        </w:rPr>
      </w:pPr>
      <w:r w:rsidRPr="009E672E">
        <w:rPr>
          <w:rFonts w:ascii="Arial" w:hAnsi="Arial" w:cs="Arial"/>
          <w:b/>
          <w:bCs/>
          <w:kern w:val="28"/>
          <w:sz w:val="22"/>
          <w:szCs w:val="22"/>
        </w:rPr>
        <w:t xml:space="preserve">Capitolo 1. </w:t>
      </w:r>
      <w:r w:rsidR="003B0D16" w:rsidRPr="009E672E">
        <w:rPr>
          <w:rFonts w:ascii="Arial" w:hAnsi="Arial" w:cs="Arial"/>
          <w:b/>
          <w:bCs/>
          <w:kern w:val="28"/>
          <w:sz w:val="22"/>
          <w:szCs w:val="22"/>
        </w:rPr>
        <w:t>Il mercato del lavoro: un bilancio degli ultimi dieci anni</w:t>
      </w:r>
    </w:p>
    <w:p w:rsidR="007128C8" w:rsidRPr="003B0D16" w:rsidRDefault="007128C8" w:rsidP="007128C8">
      <w:pPr>
        <w:pStyle w:val="Testonormale"/>
        <w:numPr>
          <w:ilvl w:val="0"/>
          <w:numId w:val="1"/>
        </w:numPr>
        <w:spacing w:after="120"/>
        <w:ind w:left="284" w:hanging="284"/>
        <w:jc w:val="both"/>
        <w:rPr>
          <w:rFonts w:ascii="Arial" w:hAnsi="Arial" w:cs="Arial"/>
          <w:bCs/>
          <w:kern w:val="28"/>
        </w:rPr>
      </w:pPr>
      <w:r w:rsidRPr="003B0D16">
        <w:rPr>
          <w:rFonts w:ascii="Arial" w:hAnsi="Arial" w:cs="Arial"/>
          <w:bCs/>
          <w:kern w:val="28"/>
        </w:rPr>
        <w:t xml:space="preserve">Nell’area dell’euro, coerentemente con il rallentamento della crescita del Pil, prosegue a ritmi meno sostenuti l’aumento congiunturale dell’occupazione (+0,3% nel terzo trimestre 2018), che raggiunge il massimo storico in valore assoluto. </w:t>
      </w:r>
      <w:r w:rsidR="000C617E">
        <w:rPr>
          <w:rFonts w:ascii="Arial" w:hAnsi="Arial" w:cs="Arial"/>
          <w:bCs/>
          <w:kern w:val="28"/>
        </w:rPr>
        <w:t>Continua</w:t>
      </w:r>
      <w:r w:rsidR="000C617E" w:rsidRPr="003B0D16">
        <w:rPr>
          <w:rFonts w:ascii="Arial" w:hAnsi="Arial" w:cs="Arial"/>
          <w:bCs/>
          <w:kern w:val="28"/>
        </w:rPr>
        <w:t xml:space="preserve"> </w:t>
      </w:r>
      <w:r w:rsidR="009E672E">
        <w:rPr>
          <w:rFonts w:ascii="Arial" w:hAnsi="Arial" w:cs="Arial"/>
          <w:bCs/>
          <w:kern w:val="28"/>
        </w:rPr>
        <w:t>anche</w:t>
      </w:r>
      <w:r w:rsidRPr="003B0D16">
        <w:rPr>
          <w:rFonts w:ascii="Arial" w:hAnsi="Arial" w:cs="Arial"/>
          <w:bCs/>
          <w:kern w:val="28"/>
        </w:rPr>
        <w:t xml:space="preserve"> la diminuzione del tasso di disoccupazione, all’8,1% nel terzo trimestre 2018. </w:t>
      </w:r>
    </w:p>
    <w:p w:rsidR="006D10EB" w:rsidRDefault="007128C8" w:rsidP="007128C8">
      <w:pPr>
        <w:pStyle w:val="Testonormale"/>
        <w:numPr>
          <w:ilvl w:val="0"/>
          <w:numId w:val="1"/>
        </w:numPr>
        <w:spacing w:after="120"/>
        <w:ind w:left="284" w:hanging="284"/>
        <w:jc w:val="both"/>
        <w:rPr>
          <w:rFonts w:ascii="Arial" w:hAnsi="Arial" w:cs="Arial"/>
          <w:bCs/>
          <w:kern w:val="28"/>
        </w:rPr>
      </w:pPr>
      <w:r w:rsidRPr="003B0D16">
        <w:rPr>
          <w:rFonts w:ascii="Arial" w:hAnsi="Arial" w:cs="Arial"/>
          <w:bCs/>
          <w:kern w:val="28"/>
        </w:rPr>
        <w:t>In Italia, il mercato del lavoro mostra una sostanziale tenuta</w:t>
      </w:r>
      <w:r w:rsidR="000C617E">
        <w:rPr>
          <w:rFonts w:ascii="Arial" w:hAnsi="Arial" w:cs="Arial"/>
          <w:bCs/>
          <w:kern w:val="28"/>
        </w:rPr>
        <w:t xml:space="preserve">, </w:t>
      </w:r>
      <w:r w:rsidR="000C617E" w:rsidRPr="003B0D16">
        <w:rPr>
          <w:rFonts w:ascii="Arial" w:hAnsi="Arial" w:cs="Arial"/>
          <w:bCs/>
          <w:kern w:val="28"/>
        </w:rPr>
        <w:t>a fronte di segnali di flessione dei livelli di attività economica</w:t>
      </w:r>
      <w:r w:rsidRPr="003B0D16">
        <w:rPr>
          <w:rFonts w:ascii="Arial" w:hAnsi="Arial" w:cs="Arial"/>
          <w:bCs/>
          <w:kern w:val="28"/>
        </w:rPr>
        <w:t>. Dopo il rilevante incremento nel 2017, l’occupazione ha continuato a crescere raggiungendo nel secondo trimestre 2018 il massimo storico di 23,3 milioni di unità</w:t>
      </w:r>
      <w:r>
        <w:rPr>
          <w:rFonts w:ascii="Arial" w:hAnsi="Arial" w:cs="Arial"/>
          <w:bCs/>
          <w:kern w:val="28"/>
        </w:rPr>
        <w:t xml:space="preserve">. Dopo una lieve </w:t>
      </w:r>
      <w:r w:rsidRPr="003B0D16">
        <w:rPr>
          <w:rFonts w:ascii="Arial" w:hAnsi="Arial" w:cs="Arial"/>
          <w:bCs/>
          <w:kern w:val="28"/>
        </w:rPr>
        <w:t>diminu</w:t>
      </w:r>
      <w:r>
        <w:rPr>
          <w:rFonts w:ascii="Arial" w:hAnsi="Arial" w:cs="Arial"/>
          <w:bCs/>
          <w:kern w:val="28"/>
        </w:rPr>
        <w:t>zione nel terzo trimestre</w:t>
      </w:r>
      <w:r w:rsidR="009E672E">
        <w:rPr>
          <w:rFonts w:ascii="Arial" w:hAnsi="Arial" w:cs="Arial"/>
          <w:bCs/>
          <w:kern w:val="28"/>
        </w:rPr>
        <w:t xml:space="preserve"> 2018</w:t>
      </w:r>
      <w:r w:rsidRPr="003B0D16">
        <w:rPr>
          <w:rFonts w:ascii="Arial" w:hAnsi="Arial" w:cs="Arial"/>
          <w:bCs/>
          <w:kern w:val="28"/>
        </w:rPr>
        <w:t xml:space="preserve">, in base alle stime preliminari, </w:t>
      </w:r>
      <w:r>
        <w:rPr>
          <w:rFonts w:ascii="Arial" w:hAnsi="Arial" w:cs="Arial"/>
          <w:bCs/>
          <w:kern w:val="28"/>
        </w:rPr>
        <w:t xml:space="preserve">aumenta lievemente </w:t>
      </w:r>
      <w:r w:rsidRPr="003B0D16">
        <w:rPr>
          <w:rFonts w:ascii="Arial" w:hAnsi="Arial" w:cs="Arial"/>
          <w:bCs/>
          <w:kern w:val="28"/>
        </w:rPr>
        <w:t xml:space="preserve">nel quarto (+0,1% rispetto al </w:t>
      </w:r>
      <w:r w:rsidR="009E672E">
        <w:rPr>
          <w:rFonts w:ascii="Arial" w:hAnsi="Arial" w:cs="Arial"/>
          <w:bCs/>
          <w:kern w:val="28"/>
        </w:rPr>
        <w:t>precedente trimestre</w:t>
      </w:r>
      <w:r w:rsidRPr="003B0D16">
        <w:rPr>
          <w:rFonts w:ascii="Arial" w:hAnsi="Arial" w:cs="Arial"/>
          <w:bCs/>
          <w:kern w:val="28"/>
        </w:rPr>
        <w:t xml:space="preserve">). </w:t>
      </w:r>
    </w:p>
    <w:p w:rsidR="007128C8" w:rsidRDefault="000C617E" w:rsidP="006D10EB">
      <w:pPr>
        <w:pStyle w:val="Testonormale"/>
        <w:spacing w:after="120"/>
        <w:jc w:val="both"/>
        <w:rPr>
          <w:rFonts w:ascii="Arial" w:hAnsi="Arial" w:cs="Arial"/>
          <w:bCs/>
          <w:kern w:val="28"/>
        </w:rPr>
      </w:pPr>
      <w:r>
        <w:rPr>
          <w:rFonts w:ascii="Arial" w:hAnsi="Arial" w:cs="Arial"/>
          <w:bCs/>
          <w:kern w:val="28"/>
        </w:rPr>
        <w:lastRenderedPageBreak/>
        <w:t xml:space="preserve"> </w:t>
      </w:r>
    </w:p>
    <w:p w:rsidR="000C617E" w:rsidRDefault="000C617E" w:rsidP="00516302">
      <w:pPr>
        <w:pStyle w:val="Testonormale"/>
        <w:spacing w:after="120"/>
        <w:ind w:left="284"/>
        <w:jc w:val="both"/>
        <w:rPr>
          <w:rFonts w:ascii="Arial" w:hAnsi="Arial" w:cs="Arial"/>
          <w:bCs/>
          <w:kern w:val="28"/>
        </w:rPr>
      </w:pPr>
    </w:p>
    <w:p w:rsidR="007128C8" w:rsidRPr="003B0D16" w:rsidRDefault="007128C8" w:rsidP="007128C8">
      <w:pPr>
        <w:pStyle w:val="Testonormale"/>
        <w:numPr>
          <w:ilvl w:val="0"/>
          <w:numId w:val="1"/>
        </w:numPr>
        <w:spacing w:after="120"/>
        <w:ind w:left="284" w:hanging="284"/>
        <w:jc w:val="both"/>
        <w:rPr>
          <w:rFonts w:ascii="Arial" w:hAnsi="Arial" w:cs="Arial"/>
          <w:bCs/>
          <w:kern w:val="28"/>
        </w:rPr>
      </w:pPr>
      <w:r w:rsidRPr="003B0D16">
        <w:rPr>
          <w:rFonts w:ascii="Arial" w:hAnsi="Arial" w:cs="Arial"/>
          <w:bCs/>
          <w:kern w:val="28"/>
        </w:rPr>
        <w:t>Nella media del 2018 il numero di occupati supera il livello del 2008 di circa 125 mila unità e il tasso di occupazione sfiora il record di 58,5%</w:t>
      </w:r>
      <w:r w:rsidR="000C617E">
        <w:rPr>
          <w:rFonts w:ascii="Arial" w:hAnsi="Arial" w:cs="Arial"/>
          <w:bCs/>
          <w:kern w:val="28"/>
        </w:rPr>
        <w:t>.</w:t>
      </w:r>
      <w:r w:rsidRPr="003B0D16">
        <w:rPr>
          <w:rFonts w:ascii="Arial" w:hAnsi="Arial" w:cs="Arial"/>
          <w:bCs/>
          <w:kern w:val="28"/>
        </w:rPr>
        <w:t xml:space="preserve"> </w:t>
      </w:r>
      <w:r w:rsidR="000C617E">
        <w:rPr>
          <w:rFonts w:ascii="Arial" w:hAnsi="Arial" w:cs="Arial"/>
          <w:bCs/>
          <w:kern w:val="28"/>
        </w:rPr>
        <w:t>I</w:t>
      </w:r>
      <w:r w:rsidRPr="003B0D16">
        <w:rPr>
          <w:rFonts w:ascii="Arial" w:hAnsi="Arial" w:cs="Arial"/>
          <w:bCs/>
          <w:kern w:val="28"/>
        </w:rPr>
        <w:t>l tasso di disoc</w:t>
      </w:r>
      <w:r>
        <w:rPr>
          <w:rFonts w:ascii="Arial" w:hAnsi="Arial" w:cs="Arial"/>
          <w:bCs/>
          <w:kern w:val="28"/>
        </w:rPr>
        <w:t>cupazione si attesta al 10,6% (-</w:t>
      </w:r>
      <w:r w:rsidRPr="003B0D16">
        <w:rPr>
          <w:rFonts w:ascii="Arial" w:hAnsi="Arial" w:cs="Arial"/>
          <w:bCs/>
          <w:kern w:val="28"/>
        </w:rPr>
        <w:t>0,6 punti in un anno e +3,9 punti rispetto al 2008).</w:t>
      </w:r>
    </w:p>
    <w:p w:rsidR="007128C8" w:rsidRPr="003B0D16" w:rsidRDefault="002A6FB4" w:rsidP="007128C8">
      <w:pPr>
        <w:pStyle w:val="Testonormale"/>
        <w:numPr>
          <w:ilvl w:val="0"/>
          <w:numId w:val="1"/>
        </w:numPr>
        <w:spacing w:after="120"/>
        <w:ind w:left="284" w:hanging="284"/>
        <w:jc w:val="both"/>
        <w:rPr>
          <w:rFonts w:ascii="Arial" w:hAnsi="Arial" w:cs="Arial"/>
          <w:bCs/>
          <w:kern w:val="28"/>
        </w:rPr>
      </w:pPr>
      <w:r>
        <w:rPr>
          <w:rFonts w:ascii="Arial" w:hAnsi="Arial" w:cs="Arial"/>
          <w:bCs/>
          <w:kern w:val="28"/>
        </w:rPr>
        <w:t>L</w:t>
      </w:r>
      <w:r w:rsidR="007128C8" w:rsidRPr="003B0D16">
        <w:rPr>
          <w:rFonts w:ascii="Arial" w:hAnsi="Arial" w:cs="Arial"/>
          <w:bCs/>
          <w:kern w:val="28"/>
        </w:rPr>
        <w:t>a ripresa dei livelli di input di lavoro</w:t>
      </w:r>
      <w:r>
        <w:rPr>
          <w:rFonts w:ascii="Arial" w:hAnsi="Arial" w:cs="Arial"/>
          <w:bCs/>
          <w:kern w:val="28"/>
        </w:rPr>
        <w:t>, a ritmi meno intensi,</w:t>
      </w:r>
      <w:r w:rsidR="007128C8" w:rsidRPr="003B0D16">
        <w:rPr>
          <w:rFonts w:ascii="Arial" w:hAnsi="Arial" w:cs="Arial"/>
          <w:bCs/>
          <w:kern w:val="28"/>
        </w:rPr>
        <w:t xml:space="preserve"> </w:t>
      </w:r>
      <w:r>
        <w:rPr>
          <w:rFonts w:ascii="Arial" w:hAnsi="Arial" w:cs="Arial"/>
          <w:bCs/>
          <w:kern w:val="28"/>
        </w:rPr>
        <w:t>prosegue con</w:t>
      </w:r>
      <w:r w:rsidR="007128C8" w:rsidRPr="003B0D16">
        <w:rPr>
          <w:rFonts w:ascii="Arial" w:hAnsi="Arial" w:cs="Arial"/>
          <w:bCs/>
          <w:kern w:val="28"/>
        </w:rPr>
        <w:t xml:space="preserve"> una crescita occupazionale “a bassa intensità lavorativa”: </w:t>
      </w:r>
      <w:r w:rsidR="007128C8">
        <w:rPr>
          <w:rFonts w:ascii="Arial" w:hAnsi="Arial" w:cs="Arial"/>
          <w:bCs/>
          <w:kern w:val="28"/>
        </w:rPr>
        <w:t xml:space="preserve">se il numero di </w:t>
      </w:r>
      <w:r w:rsidR="007128C8" w:rsidRPr="003B0D16">
        <w:rPr>
          <w:rFonts w:ascii="Arial" w:hAnsi="Arial" w:cs="Arial"/>
          <w:bCs/>
          <w:kern w:val="28"/>
        </w:rPr>
        <w:t xml:space="preserve">persone occupate recupera il livello del 2008, la quantità di lavoro utilizzato è ancora inferiore. </w:t>
      </w:r>
      <w:r>
        <w:rPr>
          <w:rFonts w:ascii="Arial" w:hAnsi="Arial" w:cs="Arial"/>
          <w:bCs/>
          <w:kern w:val="28"/>
        </w:rPr>
        <w:t>N</w:t>
      </w:r>
      <w:r w:rsidR="007128C8" w:rsidRPr="003B0D16">
        <w:rPr>
          <w:rFonts w:ascii="Arial" w:hAnsi="Arial" w:cs="Arial"/>
          <w:bCs/>
          <w:kern w:val="28"/>
        </w:rPr>
        <w:t>e</w:t>
      </w:r>
      <w:r>
        <w:rPr>
          <w:rFonts w:ascii="Arial" w:hAnsi="Arial" w:cs="Arial"/>
          <w:bCs/>
          <w:kern w:val="28"/>
        </w:rPr>
        <w:t>lla media dei</w:t>
      </w:r>
      <w:r w:rsidR="007128C8" w:rsidRPr="003B0D16">
        <w:rPr>
          <w:rFonts w:ascii="Arial" w:hAnsi="Arial" w:cs="Arial"/>
          <w:bCs/>
          <w:kern w:val="28"/>
        </w:rPr>
        <w:t xml:space="preserve"> primi tre trimestri del 2018 rispetto ai corrispondenti del 2008, il Pil è del 3,8% al di sotto del livello pre-crisi e le ore </w:t>
      </w:r>
      <w:r w:rsidR="004332A1">
        <w:rPr>
          <w:rFonts w:ascii="Arial" w:hAnsi="Arial" w:cs="Arial"/>
          <w:bCs/>
          <w:kern w:val="28"/>
        </w:rPr>
        <w:t xml:space="preserve">lavorate </w:t>
      </w:r>
      <w:r w:rsidR="007128C8" w:rsidRPr="003B0D16">
        <w:rPr>
          <w:rFonts w:ascii="Arial" w:hAnsi="Arial" w:cs="Arial"/>
          <w:bCs/>
          <w:kern w:val="28"/>
        </w:rPr>
        <w:t>del 5,1%</w:t>
      </w:r>
      <w:r w:rsidR="000C617E">
        <w:rPr>
          <w:rFonts w:ascii="Arial" w:hAnsi="Arial" w:cs="Arial"/>
          <w:bCs/>
          <w:kern w:val="28"/>
        </w:rPr>
        <w:t>.</w:t>
      </w:r>
      <w:r w:rsidR="007128C8" w:rsidRPr="003B0D16">
        <w:rPr>
          <w:rFonts w:ascii="Arial" w:hAnsi="Arial" w:cs="Arial"/>
          <w:bCs/>
          <w:kern w:val="28"/>
        </w:rPr>
        <w:t xml:space="preserve"> </w:t>
      </w:r>
      <w:r w:rsidR="000C617E">
        <w:rPr>
          <w:rFonts w:ascii="Arial" w:hAnsi="Arial" w:cs="Arial"/>
          <w:bCs/>
          <w:kern w:val="28"/>
        </w:rPr>
        <w:t>P</w:t>
      </w:r>
      <w:r w:rsidR="007128C8" w:rsidRPr="003B0D16">
        <w:rPr>
          <w:rFonts w:ascii="Arial" w:hAnsi="Arial" w:cs="Arial"/>
          <w:bCs/>
          <w:kern w:val="28"/>
        </w:rPr>
        <w:t xml:space="preserve">er colmare il gap mancano ancora poco meno di 1,8 milioni di ore e oltre un milione di Unità di lavoro a tempo pieno (Ula). </w:t>
      </w:r>
    </w:p>
    <w:p w:rsidR="007128C8" w:rsidRPr="003B0D16" w:rsidRDefault="007128C8" w:rsidP="007128C8">
      <w:pPr>
        <w:pStyle w:val="Testonormale"/>
        <w:numPr>
          <w:ilvl w:val="0"/>
          <w:numId w:val="1"/>
        </w:numPr>
        <w:spacing w:after="120"/>
        <w:ind w:left="284" w:hanging="284"/>
        <w:jc w:val="both"/>
        <w:rPr>
          <w:rFonts w:ascii="Arial" w:hAnsi="Arial" w:cs="Arial"/>
          <w:bCs/>
          <w:kern w:val="28"/>
        </w:rPr>
      </w:pPr>
      <w:r>
        <w:rPr>
          <w:rFonts w:ascii="Arial" w:hAnsi="Arial" w:cs="Arial"/>
          <w:bCs/>
          <w:kern w:val="28"/>
        </w:rPr>
        <w:t>I</w:t>
      </w:r>
      <w:r w:rsidRPr="003B0D16">
        <w:rPr>
          <w:rFonts w:ascii="Arial" w:hAnsi="Arial" w:cs="Arial"/>
          <w:bCs/>
          <w:kern w:val="28"/>
        </w:rPr>
        <w:t xml:space="preserve"> </w:t>
      </w:r>
      <w:r>
        <w:rPr>
          <w:rFonts w:ascii="Arial" w:hAnsi="Arial" w:cs="Arial"/>
          <w:bCs/>
          <w:kern w:val="28"/>
        </w:rPr>
        <w:t xml:space="preserve">lavoratori </w:t>
      </w:r>
      <w:r w:rsidRPr="003B0D16">
        <w:rPr>
          <w:rFonts w:ascii="Arial" w:hAnsi="Arial" w:cs="Arial"/>
          <w:bCs/>
          <w:kern w:val="28"/>
        </w:rPr>
        <w:t>dipendenti raggiungono il massimo storico</w:t>
      </w:r>
      <w:r w:rsidR="006D10EB">
        <w:rPr>
          <w:rFonts w:ascii="Arial" w:hAnsi="Arial" w:cs="Arial"/>
          <w:bCs/>
          <w:kern w:val="28"/>
        </w:rPr>
        <w:t>,</w:t>
      </w:r>
      <w:r w:rsidRPr="003B0D16">
        <w:rPr>
          <w:rFonts w:ascii="Arial" w:hAnsi="Arial" w:cs="Arial"/>
          <w:bCs/>
          <w:kern w:val="28"/>
        </w:rPr>
        <w:t xml:space="preserve"> sfiorando i 18 milioni</w:t>
      </w:r>
      <w:r w:rsidR="006D10EB">
        <w:rPr>
          <w:rFonts w:ascii="Arial" w:hAnsi="Arial" w:cs="Arial"/>
          <w:bCs/>
          <w:kern w:val="28"/>
        </w:rPr>
        <w:t xml:space="preserve">, </w:t>
      </w:r>
      <w:r w:rsidRPr="003B0D16">
        <w:rPr>
          <w:rFonts w:ascii="Arial" w:hAnsi="Arial" w:cs="Arial"/>
          <w:bCs/>
          <w:kern w:val="28"/>
        </w:rPr>
        <w:t>nel secondo trimestre 2018 e gli indipendenti il minimo nel primo trimestre 2018 con meno di 5,3 milioni di occupati. Nella stima preliminare del quarto trimestre 2018 torna a crescere lievemente l’occupazione permanente (+0,1%), dopo la caduta del terzo</w:t>
      </w:r>
      <w:r w:rsidR="002A6FB4">
        <w:rPr>
          <w:rFonts w:ascii="Arial" w:hAnsi="Arial" w:cs="Arial"/>
          <w:bCs/>
          <w:kern w:val="28"/>
        </w:rPr>
        <w:t>;</w:t>
      </w:r>
      <w:r w:rsidRPr="003B0D16">
        <w:rPr>
          <w:rFonts w:ascii="Arial" w:hAnsi="Arial" w:cs="Arial"/>
          <w:bCs/>
          <w:kern w:val="28"/>
        </w:rPr>
        <w:t xml:space="preserve"> </w:t>
      </w:r>
      <w:r w:rsidR="002A6FB4">
        <w:rPr>
          <w:rFonts w:ascii="Arial" w:hAnsi="Arial" w:cs="Arial"/>
          <w:bCs/>
          <w:kern w:val="28"/>
        </w:rPr>
        <w:t>il</w:t>
      </w:r>
      <w:r w:rsidRPr="003B0D16">
        <w:rPr>
          <w:rFonts w:ascii="Arial" w:hAnsi="Arial" w:cs="Arial"/>
          <w:bCs/>
          <w:kern w:val="28"/>
        </w:rPr>
        <w:t xml:space="preserve"> tempo determinato (+0,1%) tocca</w:t>
      </w:r>
      <w:r w:rsidR="002A6FB4">
        <w:rPr>
          <w:rFonts w:ascii="Arial" w:hAnsi="Arial" w:cs="Arial"/>
          <w:bCs/>
          <w:kern w:val="28"/>
        </w:rPr>
        <w:t xml:space="preserve"> </w:t>
      </w:r>
      <w:r w:rsidRPr="003B0D16">
        <w:rPr>
          <w:rFonts w:ascii="Arial" w:hAnsi="Arial" w:cs="Arial"/>
          <w:bCs/>
          <w:kern w:val="28"/>
        </w:rPr>
        <w:t>il valore massimo di oltre 3,1 milioni di occupati.</w:t>
      </w:r>
    </w:p>
    <w:p w:rsidR="007128C8" w:rsidRPr="003B0D16" w:rsidRDefault="007128C8" w:rsidP="00F640D1">
      <w:pPr>
        <w:pStyle w:val="Testonormale"/>
        <w:numPr>
          <w:ilvl w:val="0"/>
          <w:numId w:val="1"/>
        </w:numPr>
        <w:spacing w:after="120"/>
        <w:ind w:left="284" w:hanging="284"/>
        <w:jc w:val="both"/>
        <w:rPr>
          <w:rFonts w:ascii="Arial" w:hAnsi="Arial" w:cs="Arial"/>
          <w:bCs/>
          <w:kern w:val="28"/>
        </w:rPr>
      </w:pPr>
      <w:r w:rsidRPr="003B0D16">
        <w:rPr>
          <w:rFonts w:ascii="Arial" w:hAnsi="Arial" w:cs="Arial"/>
          <w:bCs/>
          <w:kern w:val="28"/>
        </w:rPr>
        <w:t xml:space="preserve">Il decennio ha visto una profonda </w:t>
      </w:r>
      <w:r w:rsidR="00BC2639" w:rsidRPr="003B0D16">
        <w:rPr>
          <w:rFonts w:ascii="Arial" w:hAnsi="Arial" w:cs="Arial"/>
          <w:bCs/>
          <w:kern w:val="28"/>
        </w:rPr>
        <w:t>trasformazion</w:t>
      </w:r>
      <w:r w:rsidR="00BC2639">
        <w:rPr>
          <w:rFonts w:ascii="Arial" w:hAnsi="Arial" w:cs="Arial"/>
          <w:bCs/>
          <w:kern w:val="28"/>
        </w:rPr>
        <w:t>e</w:t>
      </w:r>
      <w:r w:rsidR="00BC2639" w:rsidRPr="003B0D16">
        <w:rPr>
          <w:rFonts w:ascii="Arial" w:hAnsi="Arial" w:cs="Arial"/>
          <w:bCs/>
          <w:kern w:val="28"/>
        </w:rPr>
        <w:t xml:space="preserve"> </w:t>
      </w:r>
      <w:r w:rsidRPr="003B0D16">
        <w:rPr>
          <w:rFonts w:ascii="Arial" w:hAnsi="Arial" w:cs="Arial"/>
          <w:bCs/>
          <w:kern w:val="28"/>
        </w:rPr>
        <w:t xml:space="preserve">del tessuto produttivo che ha comportato una ricomposizione dell’occupazione verso il lavoro dipendente, con una crescita dei rapporti a tempo determinato </w:t>
      </w:r>
      <w:r w:rsidR="002A6FB4">
        <w:rPr>
          <w:rFonts w:ascii="Arial" w:hAnsi="Arial" w:cs="Arial"/>
          <w:bCs/>
          <w:kern w:val="28"/>
        </w:rPr>
        <w:t xml:space="preserve">(+735 mila) </w:t>
      </w:r>
      <w:r w:rsidRPr="003B0D16">
        <w:rPr>
          <w:rFonts w:ascii="Arial" w:hAnsi="Arial" w:cs="Arial"/>
          <w:bCs/>
          <w:kern w:val="28"/>
        </w:rPr>
        <w:t xml:space="preserve">e una notevole espansione degli impieghi a tempo parziale (spesso involontari). Questi trend sono connessi allo sviluppo di molte attività nel terziario e di professioni a bassa qualifica. </w:t>
      </w:r>
      <w:r w:rsidR="00F640D1">
        <w:rPr>
          <w:rFonts w:ascii="Arial" w:hAnsi="Arial" w:cs="Arial"/>
          <w:bCs/>
          <w:kern w:val="28"/>
        </w:rPr>
        <w:t xml:space="preserve">Nei dieci anni è </w:t>
      </w:r>
      <w:r w:rsidR="00F640D1" w:rsidRPr="003B0D16">
        <w:rPr>
          <w:rFonts w:ascii="Arial" w:hAnsi="Arial" w:cs="Arial"/>
          <w:bCs/>
          <w:kern w:val="28"/>
        </w:rPr>
        <w:t>aumentata la presenza femminile</w:t>
      </w:r>
      <w:r w:rsidR="00F640D1">
        <w:rPr>
          <w:rFonts w:ascii="Arial" w:hAnsi="Arial" w:cs="Arial"/>
          <w:bCs/>
          <w:kern w:val="28"/>
        </w:rPr>
        <w:t xml:space="preserve">, dei lavoratori </w:t>
      </w:r>
      <w:r w:rsidR="00F640D1" w:rsidRPr="003B0D16">
        <w:rPr>
          <w:rFonts w:ascii="Arial" w:hAnsi="Arial" w:cs="Arial"/>
          <w:bCs/>
          <w:kern w:val="28"/>
        </w:rPr>
        <w:t>“anzian</w:t>
      </w:r>
      <w:r w:rsidR="00F640D1">
        <w:rPr>
          <w:rFonts w:ascii="Arial" w:hAnsi="Arial" w:cs="Arial"/>
          <w:bCs/>
          <w:kern w:val="28"/>
        </w:rPr>
        <w:t>i</w:t>
      </w:r>
      <w:r w:rsidR="00F640D1" w:rsidRPr="003B0D16">
        <w:rPr>
          <w:rFonts w:ascii="Arial" w:hAnsi="Arial" w:cs="Arial"/>
          <w:bCs/>
          <w:kern w:val="28"/>
        </w:rPr>
        <w:t>”</w:t>
      </w:r>
      <w:r w:rsidR="00F640D1">
        <w:rPr>
          <w:rFonts w:ascii="Arial" w:hAnsi="Arial" w:cs="Arial"/>
          <w:bCs/>
          <w:kern w:val="28"/>
        </w:rPr>
        <w:t>, di quelli</w:t>
      </w:r>
      <w:r w:rsidR="00F640D1" w:rsidRPr="003B0D16">
        <w:rPr>
          <w:rFonts w:ascii="Arial" w:hAnsi="Arial" w:cs="Arial"/>
          <w:bCs/>
          <w:kern w:val="28"/>
        </w:rPr>
        <w:t xml:space="preserve"> più istruit</w:t>
      </w:r>
      <w:r w:rsidR="00F640D1">
        <w:rPr>
          <w:rFonts w:ascii="Arial" w:hAnsi="Arial" w:cs="Arial"/>
          <w:bCs/>
          <w:kern w:val="28"/>
        </w:rPr>
        <w:t xml:space="preserve">i, e degli </w:t>
      </w:r>
      <w:r w:rsidRPr="003B0D16">
        <w:rPr>
          <w:rFonts w:ascii="Arial" w:hAnsi="Arial" w:cs="Arial"/>
          <w:bCs/>
          <w:kern w:val="28"/>
        </w:rPr>
        <w:t>stranier</w:t>
      </w:r>
      <w:r w:rsidR="00F640D1">
        <w:rPr>
          <w:rFonts w:ascii="Arial" w:hAnsi="Arial" w:cs="Arial"/>
          <w:bCs/>
          <w:kern w:val="28"/>
        </w:rPr>
        <w:t>i</w:t>
      </w:r>
      <w:r w:rsidRPr="003B0D16">
        <w:rPr>
          <w:rFonts w:ascii="Arial" w:hAnsi="Arial" w:cs="Arial"/>
          <w:bCs/>
          <w:kern w:val="28"/>
        </w:rPr>
        <w:t xml:space="preserve"> </w:t>
      </w:r>
      <w:r w:rsidR="00F640D1">
        <w:rPr>
          <w:rFonts w:ascii="Arial" w:hAnsi="Arial" w:cs="Arial"/>
          <w:bCs/>
          <w:kern w:val="28"/>
        </w:rPr>
        <w:t>(</w:t>
      </w:r>
      <w:r w:rsidRPr="003B0D16">
        <w:rPr>
          <w:rFonts w:ascii="Arial" w:hAnsi="Arial" w:cs="Arial"/>
          <w:bCs/>
          <w:kern w:val="28"/>
        </w:rPr>
        <w:t>soprattutto nei settori alberghi e ristorazione, agricoltura e servizi alle famiglie</w:t>
      </w:r>
      <w:r w:rsidR="00F640D1">
        <w:rPr>
          <w:rFonts w:ascii="Arial" w:hAnsi="Arial" w:cs="Arial"/>
          <w:bCs/>
          <w:kern w:val="28"/>
        </w:rPr>
        <w:t>)</w:t>
      </w:r>
      <w:r w:rsidRPr="003B0D16">
        <w:rPr>
          <w:rFonts w:ascii="Arial" w:hAnsi="Arial" w:cs="Arial"/>
          <w:bCs/>
          <w:kern w:val="28"/>
        </w:rPr>
        <w:t>. Si è inoltre accentuato il dualismo territoriale a sfavore del Mezzogiorno</w:t>
      </w:r>
      <w:r w:rsidR="00F640D1">
        <w:rPr>
          <w:rFonts w:ascii="Arial" w:hAnsi="Arial" w:cs="Arial"/>
          <w:bCs/>
          <w:kern w:val="28"/>
        </w:rPr>
        <w:t xml:space="preserve"> (-262 mila occupati a fronte di +376 mila nel Centro-Nord)</w:t>
      </w:r>
      <w:r w:rsidRPr="003B0D16">
        <w:rPr>
          <w:rFonts w:ascii="Arial" w:hAnsi="Arial" w:cs="Arial"/>
          <w:bCs/>
          <w:kern w:val="28"/>
        </w:rPr>
        <w:t>.</w:t>
      </w:r>
    </w:p>
    <w:p w:rsidR="007128C8" w:rsidRDefault="00F640D1" w:rsidP="00506A51">
      <w:pPr>
        <w:pStyle w:val="Testonormale"/>
        <w:numPr>
          <w:ilvl w:val="0"/>
          <w:numId w:val="1"/>
        </w:numPr>
        <w:spacing w:after="120"/>
        <w:ind w:left="284" w:hanging="284"/>
        <w:jc w:val="both"/>
        <w:rPr>
          <w:rFonts w:ascii="Arial" w:hAnsi="Arial" w:cs="Arial"/>
          <w:bCs/>
          <w:kern w:val="28"/>
        </w:rPr>
      </w:pPr>
      <w:r w:rsidRPr="00F640D1">
        <w:rPr>
          <w:rFonts w:ascii="Arial" w:hAnsi="Arial" w:cs="Arial"/>
          <w:bCs/>
          <w:kern w:val="28"/>
        </w:rPr>
        <w:t xml:space="preserve">Nonostante la crescita dell'occupazione negli ultimi anni, rimane ampia la distanza dell'Italia dall'Ue15: per raggiungere il tasso di occupazione della media Ue15 (nel 2017 pari </w:t>
      </w:r>
      <w:r w:rsidR="00542DF5">
        <w:rPr>
          <w:rFonts w:ascii="Arial" w:hAnsi="Arial" w:cs="Arial"/>
          <w:bCs/>
          <w:kern w:val="28"/>
        </w:rPr>
        <w:t xml:space="preserve">a </w:t>
      </w:r>
      <w:r w:rsidRPr="00F640D1">
        <w:rPr>
          <w:rFonts w:ascii="Arial" w:hAnsi="Arial" w:cs="Arial"/>
          <w:bCs/>
          <w:kern w:val="28"/>
        </w:rPr>
        <w:t>67,9%, contro il 58,0% di quello italiano) il nostro paese dovrebbe avere circa 3,8 milioni di occupati in più</w:t>
      </w:r>
      <w:r w:rsidR="007128C8" w:rsidRPr="00F640D1">
        <w:rPr>
          <w:rFonts w:ascii="Arial" w:hAnsi="Arial" w:cs="Arial"/>
          <w:bCs/>
          <w:kern w:val="28"/>
        </w:rPr>
        <w:t xml:space="preserve">. Il gap occupazionale italiano riguarda soprattutto </w:t>
      </w:r>
      <w:r w:rsidR="007667D2">
        <w:rPr>
          <w:rFonts w:ascii="Arial" w:hAnsi="Arial" w:cs="Arial"/>
          <w:bCs/>
          <w:kern w:val="28"/>
        </w:rPr>
        <w:t>i</w:t>
      </w:r>
      <w:r w:rsidR="007128C8" w:rsidRPr="00F640D1">
        <w:rPr>
          <w:rFonts w:ascii="Arial" w:hAnsi="Arial" w:cs="Arial"/>
          <w:bCs/>
          <w:kern w:val="28"/>
        </w:rPr>
        <w:t xml:space="preserve"> </w:t>
      </w:r>
      <w:r w:rsidR="00DD6D02" w:rsidRPr="00F640D1">
        <w:rPr>
          <w:rFonts w:ascii="Arial" w:hAnsi="Arial" w:cs="Arial"/>
          <w:bCs/>
          <w:kern w:val="28"/>
        </w:rPr>
        <w:t>lavor</w:t>
      </w:r>
      <w:r w:rsidR="00DD6D02">
        <w:rPr>
          <w:rFonts w:ascii="Arial" w:hAnsi="Arial" w:cs="Arial"/>
          <w:bCs/>
          <w:kern w:val="28"/>
        </w:rPr>
        <w:t>i</w:t>
      </w:r>
      <w:r w:rsidR="00DD6D02" w:rsidRPr="00F640D1">
        <w:rPr>
          <w:rFonts w:ascii="Arial" w:hAnsi="Arial" w:cs="Arial"/>
          <w:bCs/>
          <w:kern w:val="28"/>
        </w:rPr>
        <w:t xml:space="preserve"> </w:t>
      </w:r>
      <w:r w:rsidR="007128C8" w:rsidRPr="00F640D1">
        <w:rPr>
          <w:rFonts w:ascii="Arial" w:hAnsi="Arial" w:cs="Arial"/>
          <w:bCs/>
          <w:kern w:val="28"/>
        </w:rPr>
        <w:t xml:space="preserve">qualificati e i settori sanità, istruzione e </w:t>
      </w:r>
      <w:r w:rsidR="00E520BC">
        <w:rPr>
          <w:rFonts w:ascii="Arial" w:hAnsi="Arial" w:cs="Arial"/>
          <w:bCs/>
          <w:kern w:val="28"/>
        </w:rPr>
        <w:t>pubblica amministrazione</w:t>
      </w:r>
      <w:r w:rsidR="007128C8" w:rsidRPr="00F640D1">
        <w:rPr>
          <w:rFonts w:ascii="Arial" w:hAnsi="Arial" w:cs="Arial"/>
          <w:bCs/>
          <w:kern w:val="28"/>
        </w:rPr>
        <w:t>.</w:t>
      </w:r>
    </w:p>
    <w:p w:rsidR="00E572BF" w:rsidRDefault="00E572BF" w:rsidP="00516302">
      <w:pPr>
        <w:pStyle w:val="Testonormale"/>
        <w:spacing w:after="120"/>
        <w:ind w:left="284"/>
        <w:jc w:val="both"/>
        <w:rPr>
          <w:rFonts w:ascii="Arial" w:hAnsi="Arial" w:cs="Arial"/>
          <w:bCs/>
          <w:kern w:val="28"/>
        </w:rPr>
      </w:pPr>
    </w:p>
    <w:p w:rsidR="00E572BF" w:rsidRDefault="00E572BF" w:rsidP="00516302">
      <w:pPr>
        <w:pStyle w:val="Testonormale"/>
        <w:spacing w:after="120"/>
        <w:ind w:left="284"/>
        <w:jc w:val="both"/>
        <w:rPr>
          <w:rFonts w:ascii="Arial" w:hAnsi="Arial" w:cs="Arial"/>
          <w:bCs/>
          <w:kern w:val="28"/>
        </w:rPr>
      </w:pPr>
    </w:p>
    <w:p w:rsidR="00E572BF" w:rsidRDefault="00E572BF" w:rsidP="00516302">
      <w:pPr>
        <w:pStyle w:val="Testonormale"/>
        <w:spacing w:after="120"/>
        <w:ind w:left="284"/>
        <w:jc w:val="both"/>
        <w:rPr>
          <w:rFonts w:ascii="Arial" w:hAnsi="Arial" w:cs="Arial"/>
          <w:bCs/>
          <w:kern w:val="28"/>
        </w:rPr>
      </w:pPr>
    </w:p>
    <w:tbl>
      <w:tblPr>
        <w:tblStyle w:val="Grigliatabella"/>
        <w:tblW w:w="9008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4"/>
        <w:gridCol w:w="4504"/>
      </w:tblGrid>
      <w:tr w:rsidR="00526866" w:rsidTr="00404FC3">
        <w:trPr>
          <w:trHeight w:val="788"/>
        </w:trPr>
        <w:tc>
          <w:tcPr>
            <w:tcW w:w="4504" w:type="dxa"/>
          </w:tcPr>
          <w:p w:rsidR="00526866" w:rsidRPr="00554585" w:rsidRDefault="00554585" w:rsidP="002A6FB4">
            <w:pPr>
              <w:tabs>
                <w:tab w:val="left" w:pos="426"/>
                <w:tab w:val="left" w:pos="7200"/>
                <w:tab w:val="left" w:pos="9356"/>
                <w:tab w:val="left" w:pos="10348"/>
              </w:tabs>
              <w:suppressAutoHyphens/>
              <w:spacing w:after="60"/>
              <w:ind w:left="142" w:right="198"/>
              <w:jc w:val="both"/>
              <w:rPr>
                <w:rFonts w:ascii="Arial Narrow" w:hAnsi="Arial Narrow" w:cs="Arial"/>
                <w:i/>
                <w:color w:val="404040"/>
                <w:sz w:val="22"/>
                <w:szCs w:val="22"/>
              </w:rPr>
            </w:pPr>
            <w:r w:rsidRPr="00637DC5">
              <w:rPr>
                <w:rFonts w:ascii="Arial Narrow" w:hAnsi="Arial Narrow" w:cs="Arial"/>
                <w:b/>
                <w:bCs/>
                <w:kern w:val="28"/>
                <w:sz w:val="20"/>
                <w:szCs w:val="20"/>
              </w:rPr>
              <w:t xml:space="preserve">Occupati per </w:t>
            </w:r>
            <w:r w:rsidR="002A6FB4" w:rsidRPr="00637DC5">
              <w:rPr>
                <w:rFonts w:ascii="Arial Narrow" w:hAnsi="Arial Narrow" w:cs="Arial"/>
                <w:b/>
                <w:bCs/>
                <w:kern w:val="28"/>
                <w:sz w:val="20"/>
                <w:szCs w:val="20"/>
              </w:rPr>
              <w:t>professione</w:t>
            </w:r>
            <w:r w:rsidRPr="00637DC5">
              <w:rPr>
                <w:rFonts w:ascii="Arial Narrow" w:hAnsi="Arial Narrow" w:cs="Arial"/>
                <w:b/>
                <w:bCs/>
                <w:kern w:val="28"/>
                <w:sz w:val="20"/>
                <w:szCs w:val="20"/>
              </w:rPr>
              <w:t>. Anni 2008-2018 (media primi tre trimestri)</w:t>
            </w:r>
            <w:r w:rsidRPr="00554585">
              <w:rPr>
                <w:rFonts w:ascii="Arial Narrow" w:hAnsi="Arial Narrow" w:cs="Arial"/>
                <w:color w:val="404040"/>
                <w:sz w:val="22"/>
                <w:szCs w:val="22"/>
              </w:rPr>
              <w:t xml:space="preserve"> </w:t>
            </w:r>
            <w:r w:rsidRPr="00A86EBA">
              <w:rPr>
                <w:rFonts w:ascii="Arial Narrow" w:hAnsi="Arial Narrow" w:cs="Arial"/>
                <w:color w:val="404040"/>
                <w:sz w:val="19"/>
                <w:szCs w:val="19"/>
              </w:rPr>
              <w:t>(variazioni assolute con base=2008)</w:t>
            </w:r>
          </w:p>
        </w:tc>
        <w:tc>
          <w:tcPr>
            <w:tcW w:w="4504" w:type="dxa"/>
          </w:tcPr>
          <w:p w:rsidR="00526866" w:rsidRPr="00554585" w:rsidRDefault="00554585" w:rsidP="00647E25">
            <w:pPr>
              <w:tabs>
                <w:tab w:val="left" w:pos="426"/>
                <w:tab w:val="left" w:pos="7200"/>
                <w:tab w:val="left" w:pos="9356"/>
                <w:tab w:val="left" w:pos="10348"/>
              </w:tabs>
              <w:suppressAutoHyphens/>
              <w:spacing w:after="60"/>
              <w:ind w:left="142" w:right="198"/>
              <w:jc w:val="both"/>
              <w:rPr>
                <w:rFonts w:ascii="Arial Narrow" w:hAnsi="Arial Narrow" w:cs="Arial"/>
                <w:i/>
                <w:color w:val="404040"/>
                <w:sz w:val="22"/>
                <w:szCs w:val="22"/>
              </w:rPr>
            </w:pPr>
            <w:r w:rsidRPr="00637DC5">
              <w:rPr>
                <w:rFonts w:ascii="Arial Narrow" w:hAnsi="Arial Narrow" w:cs="Arial"/>
                <w:b/>
                <w:bCs/>
                <w:kern w:val="28"/>
                <w:sz w:val="20"/>
                <w:szCs w:val="20"/>
              </w:rPr>
              <w:t>Occupati per regime orario</w:t>
            </w:r>
            <w:r w:rsidR="00647E25" w:rsidRPr="00637DC5">
              <w:rPr>
                <w:rFonts w:ascii="Arial Narrow" w:hAnsi="Arial Narrow" w:cs="Arial"/>
                <w:b/>
                <w:bCs/>
                <w:kern w:val="28"/>
                <w:sz w:val="20"/>
                <w:szCs w:val="20"/>
              </w:rPr>
              <w:t>.</w:t>
            </w:r>
            <w:r w:rsidRPr="00637DC5">
              <w:rPr>
                <w:rFonts w:ascii="Arial Narrow" w:hAnsi="Arial Narrow" w:cs="Arial"/>
                <w:b/>
                <w:bCs/>
                <w:kern w:val="28"/>
                <w:sz w:val="20"/>
                <w:szCs w:val="20"/>
              </w:rPr>
              <w:t xml:space="preserve"> Anni 2008-2018 (media primi tre trimestri)</w:t>
            </w:r>
            <w:r w:rsidRPr="00554585">
              <w:rPr>
                <w:rFonts w:ascii="Arial Narrow" w:hAnsi="Arial Narrow" w:cs="Arial"/>
                <w:color w:val="404040"/>
                <w:sz w:val="22"/>
                <w:szCs w:val="22"/>
              </w:rPr>
              <w:t xml:space="preserve"> </w:t>
            </w:r>
            <w:r w:rsidRPr="00A86EBA">
              <w:rPr>
                <w:rFonts w:ascii="Arial Narrow" w:hAnsi="Arial Narrow" w:cs="Arial"/>
                <w:color w:val="404040"/>
                <w:sz w:val="19"/>
                <w:szCs w:val="19"/>
              </w:rPr>
              <w:t>(variazioni assolute con base=2008)</w:t>
            </w:r>
          </w:p>
        </w:tc>
      </w:tr>
      <w:tr w:rsidR="00390CA3" w:rsidTr="00404FC3">
        <w:tblPrEx>
          <w:tblCellMar>
            <w:left w:w="70" w:type="dxa"/>
            <w:right w:w="70" w:type="dxa"/>
          </w:tblCellMar>
        </w:tblPrEx>
        <w:trPr>
          <w:trHeight w:val="2663"/>
        </w:trPr>
        <w:tc>
          <w:tcPr>
            <w:tcW w:w="4504" w:type="dxa"/>
          </w:tcPr>
          <w:p w:rsidR="00526866" w:rsidRPr="00554585" w:rsidRDefault="002A6FB4" w:rsidP="00554585">
            <w:pPr>
              <w:spacing w:after="160" w:line="259" w:lineRule="auto"/>
              <w:rPr>
                <w:rFonts w:ascii="Arial" w:hAnsi="Arial" w:cs="Arial"/>
                <w:bCs/>
                <w:kern w:val="28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6429AC9" wp14:editId="5438E8AF">
                  <wp:extent cx="2654135" cy="1864426"/>
                  <wp:effectExtent l="0" t="0" r="0" b="2540"/>
                  <wp:docPr id="14" name="Grafico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  <w:tc>
          <w:tcPr>
            <w:tcW w:w="4504" w:type="dxa"/>
          </w:tcPr>
          <w:p w:rsidR="00526866" w:rsidRPr="00554585" w:rsidRDefault="002A6FB4" w:rsidP="00554585">
            <w:pPr>
              <w:spacing w:after="160" w:line="259" w:lineRule="auto"/>
              <w:rPr>
                <w:rFonts w:ascii="Arial" w:hAnsi="Arial" w:cs="Arial"/>
                <w:bCs/>
                <w:kern w:val="28"/>
              </w:rPr>
            </w:pPr>
            <w:r>
              <w:rPr>
                <w:noProof/>
              </w:rPr>
              <w:drawing>
                <wp:inline distT="0" distB="0" distL="0" distR="0" wp14:anchorId="26436F59" wp14:editId="041360C8">
                  <wp:extent cx="2802577" cy="1935480"/>
                  <wp:effectExtent l="0" t="0" r="0" b="7620"/>
                  <wp:docPr id="17" name="Grafico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</w:tbl>
    <w:p w:rsidR="00A12C7A" w:rsidRPr="00A86EBA" w:rsidRDefault="00554585" w:rsidP="00A86EBA">
      <w:pPr>
        <w:spacing w:after="160" w:line="259" w:lineRule="auto"/>
        <w:ind w:left="142"/>
        <w:rPr>
          <w:rFonts w:ascii="Arial Narrow" w:hAnsi="Arial Narrow" w:cs="Arial"/>
          <w:bCs/>
          <w:kern w:val="28"/>
          <w:sz w:val="15"/>
          <w:szCs w:val="15"/>
        </w:rPr>
      </w:pPr>
      <w:r w:rsidRPr="00A86EBA">
        <w:rPr>
          <w:rFonts w:ascii="Arial Narrow" w:hAnsi="Arial Narrow" w:cs="Arial"/>
          <w:bCs/>
          <w:kern w:val="28"/>
          <w:sz w:val="15"/>
          <w:szCs w:val="15"/>
        </w:rPr>
        <w:t>Fonte: Istat, Rilevazione sulle forze di lavoro</w:t>
      </w:r>
    </w:p>
    <w:p w:rsidR="00E572BF" w:rsidRDefault="00E572BF" w:rsidP="00112F99">
      <w:pPr>
        <w:spacing w:after="160" w:line="259" w:lineRule="auto"/>
        <w:rPr>
          <w:rFonts w:ascii="Arial" w:hAnsi="Arial" w:cs="Arial"/>
          <w:b/>
          <w:bCs/>
          <w:kern w:val="28"/>
          <w:sz w:val="10"/>
          <w:szCs w:val="10"/>
        </w:rPr>
      </w:pPr>
    </w:p>
    <w:p w:rsidR="006D10EB" w:rsidRDefault="006D10EB" w:rsidP="00112F99">
      <w:pPr>
        <w:spacing w:after="160" w:line="259" w:lineRule="auto"/>
        <w:rPr>
          <w:rFonts w:ascii="Arial" w:hAnsi="Arial" w:cs="Arial"/>
          <w:b/>
          <w:bCs/>
          <w:kern w:val="28"/>
          <w:sz w:val="10"/>
          <w:szCs w:val="10"/>
        </w:rPr>
      </w:pPr>
    </w:p>
    <w:p w:rsidR="006D10EB" w:rsidRPr="00516302" w:rsidRDefault="006D10EB" w:rsidP="00112F99">
      <w:pPr>
        <w:spacing w:after="160" w:line="259" w:lineRule="auto"/>
        <w:rPr>
          <w:rFonts w:ascii="Arial" w:hAnsi="Arial" w:cs="Arial"/>
          <w:b/>
          <w:bCs/>
          <w:kern w:val="28"/>
          <w:sz w:val="10"/>
          <w:szCs w:val="10"/>
        </w:rPr>
      </w:pPr>
    </w:p>
    <w:p w:rsidR="00112F99" w:rsidRPr="00453672" w:rsidRDefault="00112F99" w:rsidP="00112F99">
      <w:pPr>
        <w:spacing w:after="160" w:line="259" w:lineRule="auto"/>
        <w:rPr>
          <w:rFonts w:ascii="Arial" w:hAnsi="Arial" w:cs="Arial"/>
          <w:b/>
          <w:bCs/>
          <w:kern w:val="28"/>
        </w:rPr>
      </w:pPr>
      <w:r w:rsidRPr="00923E1A">
        <w:rPr>
          <w:rFonts w:ascii="Arial" w:hAnsi="Arial" w:cs="Arial"/>
          <w:b/>
          <w:bCs/>
          <w:kern w:val="28"/>
          <w:sz w:val="22"/>
          <w:szCs w:val="22"/>
        </w:rPr>
        <w:lastRenderedPageBreak/>
        <w:t xml:space="preserve">Capitolo 2. </w:t>
      </w:r>
      <w:r w:rsidRPr="00923E1A">
        <w:rPr>
          <w:rFonts w:ascii="Arial" w:hAnsi="Arial" w:cs="Arial"/>
          <w:b/>
          <w:bCs/>
          <w:kern w:val="28"/>
        </w:rPr>
        <w:t>Il sottoutilizzo della forza lavoro in Italia</w:t>
      </w:r>
    </w:p>
    <w:p w:rsidR="006036A1" w:rsidRDefault="00112F99" w:rsidP="00A86EBA">
      <w:pPr>
        <w:pStyle w:val="Testonormale"/>
        <w:numPr>
          <w:ilvl w:val="0"/>
          <w:numId w:val="8"/>
        </w:numPr>
        <w:spacing w:after="120"/>
        <w:ind w:left="284" w:hanging="284"/>
        <w:jc w:val="both"/>
        <w:rPr>
          <w:rFonts w:ascii="Arial" w:hAnsi="Arial" w:cs="Arial"/>
          <w:bCs/>
          <w:kern w:val="28"/>
        </w:rPr>
      </w:pPr>
      <w:r w:rsidRPr="00453672">
        <w:rPr>
          <w:rFonts w:ascii="Arial" w:hAnsi="Arial" w:cs="Arial"/>
          <w:bCs/>
          <w:kern w:val="28"/>
        </w:rPr>
        <w:t>Nel 2017</w:t>
      </w:r>
      <w:r w:rsidR="00E572BF">
        <w:rPr>
          <w:rFonts w:ascii="Arial" w:hAnsi="Arial" w:cs="Arial"/>
          <w:bCs/>
          <w:kern w:val="28"/>
        </w:rPr>
        <w:t>,</w:t>
      </w:r>
      <w:r w:rsidRPr="00453672">
        <w:rPr>
          <w:rFonts w:ascii="Arial" w:hAnsi="Arial" w:cs="Arial"/>
          <w:bCs/>
          <w:kern w:val="28"/>
        </w:rPr>
        <w:t xml:space="preserve"> </w:t>
      </w:r>
      <w:r w:rsidR="006036A1">
        <w:rPr>
          <w:rFonts w:ascii="Arial" w:hAnsi="Arial" w:cs="Arial"/>
          <w:bCs/>
          <w:kern w:val="28"/>
        </w:rPr>
        <w:t>il tasso di attività</w:t>
      </w:r>
      <w:r w:rsidRPr="00453672">
        <w:rPr>
          <w:rFonts w:ascii="Arial" w:hAnsi="Arial" w:cs="Arial"/>
          <w:bCs/>
          <w:kern w:val="28"/>
        </w:rPr>
        <w:t xml:space="preserve"> dell</w:t>
      </w:r>
      <w:r w:rsidR="006036A1">
        <w:rPr>
          <w:rFonts w:ascii="Arial" w:hAnsi="Arial" w:cs="Arial"/>
          <w:bCs/>
          <w:kern w:val="28"/>
        </w:rPr>
        <w:t xml:space="preserve">a popolazione tra 15 e 74 anni </w:t>
      </w:r>
      <w:r w:rsidR="006036A1" w:rsidRPr="00453672">
        <w:rPr>
          <w:rFonts w:ascii="Arial" w:hAnsi="Arial" w:cs="Arial"/>
          <w:bCs/>
          <w:kern w:val="28"/>
        </w:rPr>
        <w:t xml:space="preserve">in Italia </w:t>
      </w:r>
      <w:r w:rsidR="00E572BF">
        <w:rPr>
          <w:rFonts w:ascii="Arial" w:hAnsi="Arial" w:cs="Arial"/>
          <w:bCs/>
          <w:kern w:val="28"/>
        </w:rPr>
        <w:t xml:space="preserve">è </w:t>
      </w:r>
      <w:r w:rsidR="00542DF5">
        <w:rPr>
          <w:rFonts w:ascii="Arial" w:hAnsi="Arial" w:cs="Arial"/>
          <w:bCs/>
          <w:kern w:val="28"/>
        </w:rPr>
        <w:t>pari al</w:t>
      </w:r>
      <w:r w:rsidR="006036A1">
        <w:rPr>
          <w:rFonts w:ascii="Arial" w:hAnsi="Arial" w:cs="Arial"/>
          <w:bCs/>
          <w:kern w:val="28"/>
        </w:rPr>
        <w:t xml:space="preserve"> </w:t>
      </w:r>
      <w:r w:rsidRPr="00453672">
        <w:rPr>
          <w:rFonts w:ascii="Arial" w:hAnsi="Arial" w:cs="Arial"/>
          <w:bCs/>
          <w:kern w:val="28"/>
        </w:rPr>
        <w:t xml:space="preserve">57,1%. Il gap di 7,5 punti con la media Ue è dovuto soprattutto alle forti differenze di genere e territoriali </w:t>
      </w:r>
      <w:r w:rsidR="00245C93">
        <w:rPr>
          <w:rFonts w:ascii="Arial" w:hAnsi="Arial" w:cs="Arial"/>
          <w:bCs/>
          <w:kern w:val="28"/>
        </w:rPr>
        <w:t>presenti ne</w:t>
      </w:r>
      <w:r>
        <w:rPr>
          <w:rFonts w:ascii="Arial" w:hAnsi="Arial" w:cs="Arial"/>
          <w:bCs/>
          <w:kern w:val="28"/>
        </w:rPr>
        <w:t>l</w:t>
      </w:r>
      <w:r w:rsidRPr="00453672">
        <w:rPr>
          <w:rFonts w:ascii="Arial" w:hAnsi="Arial" w:cs="Arial"/>
          <w:bCs/>
          <w:kern w:val="28"/>
        </w:rPr>
        <w:t xml:space="preserve"> nostro </w:t>
      </w:r>
      <w:r w:rsidR="00B24A4D">
        <w:rPr>
          <w:rFonts w:ascii="Arial" w:hAnsi="Arial" w:cs="Arial"/>
          <w:bCs/>
          <w:kern w:val="28"/>
        </w:rPr>
        <w:t>p</w:t>
      </w:r>
      <w:r w:rsidRPr="00453672">
        <w:rPr>
          <w:rFonts w:ascii="Arial" w:hAnsi="Arial" w:cs="Arial"/>
          <w:bCs/>
          <w:kern w:val="28"/>
        </w:rPr>
        <w:t>aese. Includendo anche quella parte di inattivi interessati a lavorare (le forze lavoro potenziali)</w:t>
      </w:r>
      <w:r w:rsidR="00245C93">
        <w:rPr>
          <w:rFonts w:ascii="Arial" w:hAnsi="Arial" w:cs="Arial"/>
          <w:bCs/>
          <w:kern w:val="28"/>
        </w:rPr>
        <w:t>,</w:t>
      </w:r>
      <w:r w:rsidRPr="00453672">
        <w:rPr>
          <w:rFonts w:ascii="Arial" w:hAnsi="Arial" w:cs="Arial"/>
          <w:bCs/>
          <w:kern w:val="28"/>
        </w:rPr>
        <w:t xml:space="preserve"> in un ipotetico “tasso di attività allargato”</w:t>
      </w:r>
      <w:r w:rsidR="00245C93">
        <w:rPr>
          <w:rFonts w:ascii="Arial" w:hAnsi="Arial" w:cs="Arial"/>
          <w:bCs/>
          <w:kern w:val="28"/>
        </w:rPr>
        <w:t>,</w:t>
      </w:r>
      <w:r w:rsidR="00882B09">
        <w:rPr>
          <w:rFonts w:ascii="Arial" w:hAnsi="Arial" w:cs="Arial"/>
          <w:bCs/>
          <w:kern w:val="28"/>
        </w:rPr>
        <w:t xml:space="preserve"> </w:t>
      </w:r>
      <w:r w:rsidRPr="00453672">
        <w:rPr>
          <w:rFonts w:ascii="Arial" w:hAnsi="Arial" w:cs="Arial"/>
          <w:bCs/>
          <w:kern w:val="28"/>
        </w:rPr>
        <w:t xml:space="preserve">la partecipazione salirebbe </w:t>
      </w:r>
      <w:r w:rsidR="00E70F5E" w:rsidRPr="00453672">
        <w:rPr>
          <w:rFonts w:ascii="Arial" w:hAnsi="Arial" w:cs="Arial"/>
          <w:bCs/>
          <w:kern w:val="28"/>
        </w:rPr>
        <w:t xml:space="preserve">al 64% in Italia </w:t>
      </w:r>
      <w:r w:rsidR="00E70F5E">
        <w:rPr>
          <w:rFonts w:ascii="Arial" w:hAnsi="Arial" w:cs="Arial"/>
          <w:bCs/>
          <w:kern w:val="28"/>
        </w:rPr>
        <w:t xml:space="preserve">e </w:t>
      </w:r>
      <w:r w:rsidRPr="00453672">
        <w:rPr>
          <w:rFonts w:ascii="Arial" w:hAnsi="Arial" w:cs="Arial"/>
          <w:bCs/>
          <w:kern w:val="28"/>
        </w:rPr>
        <w:t xml:space="preserve">al 67,4% in Europa, ridimensionando il divario soprattutto per gli uomini. </w:t>
      </w:r>
      <w:r w:rsidR="00E70F5E">
        <w:rPr>
          <w:rFonts w:ascii="Arial" w:hAnsi="Arial" w:cs="Arial"/>
          <w:bCs/>
          <w:kern w:val="28"/>
        </w:rPr>
        <w:t xml:space="preserve"> </w:t>
      </w:r>
    </w:p>
    <w:p w:rsidR="006036A1" w:rsidRDefault="00E572BF" w:rsidP="00A86EBA">
      <w:pPr>
        <w:pStyle w:val="Testonormale"/>
        <w:numPr>
          <w:ilvl w:val="0"/>
          <w:numId w:val="8"/>
        </w:numPr>
        <w:spacing w:after="120"/>
        <w:ind w:left="284" w:hanging="284"/>
        <w:jc w:val="both"/>
        <w:rPr>
          <w:rFonts w:ascii="Arial" w:hAnsi="Arial" w:cs="Arial"/>
          <w:bCs/>
          <w:kern w:val="28"/>
        </w:rPr>
      </w:pPr>
      <w:r>
        <w:rPr>
          <w:rFonts w:ascii="Arial" w:hAnsi="Arial" w:cs="Arial"/>
          <w:bCs/>
          <w:kern w:val="28"/>
        </w:rPr>
        <w:t>C</w:t>
      </w:r>
      <w:r w:rsidRPr="00A238DB">
        <w:rPr>
          <w:rFonts w:ascii="Arial" w:hAnsi="Arial" w:cs="Arial"/>
          <w:bCs/>
          <w:kern w:val="28"/>
        </w:rPr>
        <w:t>on un tasso di disoccupazione</w:t>
      </w:r>
      <w:r>
        <w:rPr>
          <w:rFonts w:ascii="Arial" w:hAnsi="Arial" w:cs="Arial"/>
          <w:bCs/>
          <w:kern w:val="28"/>
        </w:rPr>
        <w:t xml:space="preserve"> </w:t>
      </w:r>
      <w:r w:rsidRPr="00A238DB">
        <w:rPr>
          <w:rFonts w:ascii="Arial" w:hAnsi="Arial" w:cs="Arial"/>
          <w:bCs/>
          <w:kern w:val="28"/>
        </w:rPr>
        <w:t>all’11,7%</w:t>
      </w:r>
      <w:r>
        <w:rPr>
          <w:rFonts w:ascii="Arial" w:hAnsi="Arial" w:cs="Arial"/>
          <w:bCs/>
          <w:kern w:val="28"/>
        </w:rPr>
        <w:t xml:space="preserve"> nel 2017,</w:t>
      </w:r>
      <w:r w:rsidRPr="00A238DB">
        <w:rPr>
          <w:rFonts w:ascii="Arial" w:hAnsi="Arial" w:cs="Arial"/>
          <w:bCs/>
          <w:kern w:val="28"/>
        </w:rPr>
        <w:t xml:space="preserve"> </w:t>
      </w:r>
      <w:r>
        <w:rPr>
          <w:rFonts w:ascii="Arial" w:hAnsi="Arial" w:cs="Arial"/>
          <w:bCs/>
          <w:kern w:val="28"/>
        </w:rPr>
        <w:t>l</w:t>
      </w:r>
      <w:r w:rsidR="00112F99" w:rsidRPr="00A238DB">
        <w:rPr>
          <w:rFonts w:ascii="Arial" w:hAnsi="Arial" w:cs="Arial"/>
          <w:bCs/>
          <w:kern w:val="28"/>
        </w:rPr>
        <w:t xml:space="preserve">’Italia  si colloca al terz’ultimo posto nella graduatoria </w:t>
      </w:r>
      <w:r>
        <w:rPr>
          <w:rFonts w:ascii="Arial" w:hAnsi="Arial" w:cs="Arial"/>
          <w:bCs/>
          <w:kern w:val="28"/>
        </w:rPr>
        <w:t>Ue</w:t>
      </w:r>
      <w:r w:rsidR="00112F99" w:rsidRPr="00A238DB">
        <w:rPr>
          <w:rFonts w:ascii="Arial" w:hAnsi="Arial" w:cs="Arial"/>
          <w:bCs/>
          <w:kern w:val="28"/>
        </w:rPr>
        <w:t xml:space="preserve">28 </w:t>
      </w:r>
      <w:r w:rsidRPr="00A238DB">
        <w:rPr>
          <w:rFonts w:ascii="Arial" w:hAnsi="Arial" w:cs="Arial"/>
          <w:bCs/>
          <w:kern w:val="28"/>
        </w:rPr>
        <w:t xml:space="preserve">(7,6% </w:t>
      </w:r>
      <w:r>
        <w:rPr>
          <w:rFonts w:ascii="Arial" w:hAnsi="Arial" w:cs="Arial"/>
          <w:bCs/>
          <w:kern w:val="28"/>
        </w:rPr>
        <w:t>l</w:t>
      </w:r>
      <w:r w:rsidRPr="00A238DB">
        <w:rPr>
          <w:rFonts w:ascii="Arial" w:hAnsi="Arial" w:cs="Arial"/>
          <w:bCs/>
          <w:kern w:val="28"/>
        </w:rPr>
        <w:t>a media europea)</w:t>
      </w:r>
      <w:r w:rsidR="00112F99" w:rsidRPr="00A238DB">
        <w:rPr>
          <w:rFonts w:ascii="Arial" w:hAnsi="Arial" w:cs="Arial"/>
          <w:bCs/>
          <w:kern w:val="28"/>
        </w:rPr>
        <w:t xml:space="preserve">. Se si considera il tasso di mancata partecipazione, che oltre ai disoccupati tiene conto delle forze lavoro potenziali disponibili a lavorare, </w:t>
      </w:r>
      <w:r w:rsidR="00882B09">
        <w:rPr>
          <w:rFonts w:ascii="Arial" w:hAnsi="Arial" w:cs="Arial"/>
          <w:bCs/>
          <w:kern w:val="28"/>
        </w:rPr>
        <w:t>il</w:t>
      </w:r>
      <w:r w:rsidR="00112F99" w:rsidRPr="00A238DB">
        <w:rPr>
          <w:rFonts w:ascii="Arial" w:hAnsi="Arial" w:cs="Arial"/>
          <w:bCs/>
          <w:kern w:val="28"/>
        </w:rPr>
        <w:t xml:space="preserve"> divario dalla media europea sfiora i dieci punti.</w:t>
      </w:r>
      <w:r w:rsidR="006036A1" w:rsidRPr="006036A1">
        <w:rPr>
          <w:rFonts w:ascii="Arial" w:hAnsi="Arial" w:cs="Arial"/>
          <w:bCs/>
          <w:kern w:val="28"/>
        </w:rPr>
        <w:t xml:space="preserve"> </w:t>
      </w:r>
      <w:r w:rsidR="006036A1" w:rsidRPr="00453672">
        <w:rPr>
          <w:rFonts w:ascii="Arial" w:hAnsi="Arial" w:cs="Arial"/>
          <w:bCs/>
          <w:kern w:val="28"/>
        </w:rPr>
        <w:t xml:space="preserve">Nel complesso, nel 2017 </w:t>
      </w:r>
      <w:r w:rsidR="006036A1">
        <w:rPr>
          <w:rFonts w:ascii="Arial" w:hAnsi="Arial" w:cs="Arial"/>
          <w:bCs/>
          <w:kern w:val="28"/>
        </w:rPr>
        <w:t xml:space="preserve">la forza lavoro non </w:t>
      </w:r>
      <w:r w:rsidR="006036A1" w:rsidRPr="00453672">
        <w:rPr>
          <w:rFonts w:ascii="Arial" w:hAnsi="Arial" w:cs="Arial"/>
          <w:bCs/>
          <w:kern w:val="28"/>
        </w:rPr>
        <w:t>utilizzata potenzialmente impiegabile nel sistema produttivo ammonta a circa sei milioni di individui (2</w:t>
      </w:r>
      <w:r w:rsidR="006036A1">
        <w:rPr>
          <w:rFonts w:ascii="Arial" w:hAnsi="Arial" w:cs="Arial"/>
          <w:bCs/>
          <w:kern w:val="28"/>
        </w:rPr>
        <w:t>,9</w:t>
      </w:r>
      <w:r w:rsidR="006036A1" w:rsidRPr="00453672">
        <w:rPr>
          <w:rFonts w:ascii="Arial" w:hAnsi="Arial" w:cs="Arial"/>
          <w:bCs/>
          <w:kern w:val="28"/>
        </w:rPr>
        <w:t xml:space="preserve"> milioni </w:t>
      </w:r>
      <w:r w:rsidR="006036A1">
        <w:rPr>
          <w:rFonts w:ascii="Arial" w:hAnsi="Arial" w:cs="Arial"/>
          <w:bCs/>
          <w:kern w:val="28"/>
        </w:rPr>
        <w:t>disoccupati e 3,</w:t>
      </w:r>
      <w:r w:rsidR="006036A1" w:rsidRPr="00453672">
        <w:rPr>
          <w:rFonts w:ascii="Arial" w:hAnsi="Arial" w:cs="Arial"/>
          <w:bCs/>
          <w:kern w:val="28"/>
        </w:rPr>
        <w:t>1</w:t>
      </w:r>
      <w:r w:rsidR="006036A1">
        <w:rPr>
          <w:rFonts w:ascii="Arial" w:hAnsi="Arial" w:cs="Arial"/>
          <w:bCs/>
          <w:kern w:val="28"/>
        </w:rPr>
        <w:t xml:space="preserve"> </w:t>
      </w:r>
      <w:r w:rsidR="006036A1" w:rsidRPr="00453672">
        <w:rPr>
          <w:rFonts w:ascii="Arial" w:hAnsi="Arial" w:cs="Arial"/>
          <w:bCs/>
          <w:kern w:val="28"/>
        </w:rPr>
        <w:t>mi</w:t>
      </w:r>
      <w:r w:rsidR="006036A1">
        <w:rPr>
          <w:rFonts w:ascii="Arial" w:hAnsi="Arial" w:cs="Arial"/>
          <w:bCs/>
          <w:kern w:val="28"/>
        </w:rPr>
        <w:t>lioni forze di lavoro potenziali).</w:t>
      </w:r>
    </w:p>
    <w:p w:rsidR="00112F99" w:rsidRPr="00A238DB" w:rsidRDefault="00542DF5" w:rsidP="00A86EBA">
      <w:pPr>
        <w:pStyle w:val="Testonormale"/>
        <w:numPr>
          <w:ilvl w:val="0"/>
          <w:numId w:val="8"/>
        </w:numPr>
        <w:spacing w:after="120"/>
        <w:ind w:left="284" w:hanging="284"/>
        <w:jc w:val="both"/>
        <w:rPr>
          <w:rFonts w:ascii="Arial" w:hAnsi="Arial" w:cs="Arial"/>
          <w:bCs/>
          <w:kern w:val="28"/>
        </w:rPr>
      </w:pPr>
      <w:r>
        <w:rPr>
          <w:rFonts w:ascii="Arial" w:hAnsi="Arial" w:cs="Arial"/>
          <w:bCs/>
          <w:kern w:val="28"/>
        </w:rPr>
        <w:t>N</w:t>
      </w:r>
      <w:r w:rsidR="00112F99" w:rsidRPr="00A238DB">
        <w:rPr>
          <w:rFonts w:ascii="Arial" w:hAnsi="Arial" w:cs="Arial"/>
          <w:bCs/>
          <w:kern w:val="28"/>
        </w:rPr>
        <w:t>el 2017</w:t>
      </w:r>
      <w:r w:rsidR="00245C93">
        <w:rPr>
          <w:rFonts w:ascii="Arial" w:hAnsi="Arial" w:cs="Arial"/>
          <w:bCs/>
          <w:kern w:val="28"/>
        </w:rPr>
        <w:t>,</w:t>
      </w:r>
      <w:r w:rsidR="00112F99" w:rsidRPr="00A238DB">
        <w:rPr>
          <w:rFonts w:ascii="Arial" w:hAnsi="Arial" w:cs="Arial"/>
          <w:bCs/>
          <w:kern w:val="28"/>
        </w:rPr>
        <w:t xml:space="preserve"> </w:t>
      </w:r>
      <w:r w:rsidR="00245C93" w:rsidRPr="00A238DB">
        <w:rPr>
          <w:rFonts w:ascii="Arial" w:hAnsi="Arial" w:cs="Arial"/>
          <w:bCs/>
          <w:kern w:val="28"/>
        </w:rPr>
        <w:t>ha</w:t>
      </w:r>
      <w:r w:rsidR="00245C93">
        <w:rPr>
          <w:rFonts w:ascii="Arial" w:hAnsi="Arial" w:cs="Arial"/>
          <w:bCs/>
          <w:kern w:val="28"/>
        </w:rPr>
        <w:t>nno</w:t>
      </w:r>
      <w:r w:rsidR="00245C93" w:rsidRPr="00A238DB">
        <w:rPr>
          <w:rFonts w:ascii="Arial" w:hAnsi="Arial" w:cs="Arial"/>
          <w:bCs/>
          <w:kern w:val="28"/>
        </w:rPr>
        <w:t xml:space="preserve"> lavorato meno ore di quelle che sarebbero stati disponibili a lavorare </w:t>
      </w:r>
      <w:r w:rsidR="00112F99" w:rsidRPr="00A238DB">
        <w:rPr>
          <w:rFonts w:ascii="Arial" w:hAnsi="Arial" w:cs="Arial"/>
          <w:bCs/>
          <w:kern w:val="28"/>
        </w:rPr>
        <w:t xml:space="preserve">circa 1 milione </w:t>
      </w:r>
      <w:r>
        <w:rPr>
          <w:rFonts w:ascii="Arial" w:hAnsi="Arial" w:cs="Arial"/>
          <w:bCs/>
          <w:kern w:val="28"/>
        </w:rPr>
        <w:t>di occupati</w:t>
      </w:r>
      <w:r w:rsidR="00245C93">
        <w:rPr>
          <w:rFonts w:ascii="Arial" w:hAnsi="Arial" w:cs="Arial"/>
          <w:bCs/>
          <w:kern w:val="28"/>
        </w:rPr>
        <w:t xml:space="preserve"> </w:t>
      </w:r>
      <w:r w:rsidR="00245C93" w:rsidRPr="00A238DB">
        <w:rPr>
          <w:rFonts w:ascii="Arial" w:hAnsi="Arial" w:cs="Arial"/>
          <w:bCs/>
          <w:kern w:val="28"/>
        </w:rPr>
        <w:t>(4,4% del totale)</w:t>
      </w:r>
      <w:r w:rsidR="00E572BF">
        <w:rPr>
          <w:rFonts w:ascii="Arial" w:hAnsi="Arial" w:cs="Arial"/>
          <w:bCs/>
          <w:kern w:val="28"/>
        </w:rPr>
        <w:t>.</w:t>
      </w:r>
      <w:r w:rsidR="00112F99" w:rsidRPr="00A238DB">
        <w:rPr>
          <w:rFonts w:ascii="Arial" w:hAnsi="Arial" w:cs="Arial"/>
          <w:bCs/>
          <w:kern w:val="28"/>
        </w:rPr>
        <w:t xml:space="preserve"> </w:t>
      </w:r>
      <w:r w:rsidR="00E572BF">
        <w:rPr>
          <w:rFonts w:ascii="Arial" w:hAnsi="Arial" w:cs="Arial"/>
          <w:bCs/>
          <w:kern w:val="28"/>
        </w:rPr>
        <w:t>I</w:t>
      </w:r>
      <w:r w:rsidR="00112F99" w:rsidRPr="00A238DB">
        <w:rPr>
          <w:rFonts w:ascii="Arial" w:hAnsi="Arial" w:cs="Arial"/>
          <w:bCs/>
          <w:kern w:val="28"/>
        </w:rPr>
        <w:t xml:space="preserve">n media un sottoccupato sarebbe stato disponibile a lavorare circa 19 ore in più a settimana. Complessivamente in termini di </w:t>
      </w:r>
      <w:r w:rsidR="00E572BF">
        <w:rPr>
          <w:rFonts w:ascii="Arial" w:hAnsi="Arial" w:cs="Arial"/>
          <w:bCs/>
          <w:kern w:val="28"/>
        </w:rPr>
        <w:t>U</w:t>
      </w:r>
      <w:r w:rsidR="00112F99" w:rsidRPr="00A238DB">
        <w:rPr>
          <w:rFonts w:ascii="Arial" w:hAnsi="Arial" w:cs="Arial"/>
          <w:bCs/>
          <w:kern w:val="28"/>
        </w:rPr>
        <w:t>nità di lavoro equivalenti a tempo pieno</w:t>
      </w:r>
      <w:r w:rsidR="00882B09">
        <w:rPr>
          <w:rFonts w:ascii="Arial" w:hAnsi="Arial" w:cs="Arial"/>
          <w:bCs/>
          <w:kern w:val="28"/>
        </w:rPr>
        <w:t xml:space="preserve"> </w:t>
      </w:r>
      <w:r w:rsidR="00112F99" w:rsidRPr="00A238DB">
        <w:rPr>
          <w:rFonts w:ascii="Arial" w:hAnsi="Arial" w:cs="Arial"/>
          <w:bCs/>
          <w:kern w:val="28"/>
        </w:rPr>
        <w:t>ciò corrisponde a 473 mila occupati a tempo pieno. Il tasso di sottoccupazione è più elevato nel Mezzogiorno, tra le donne, tra i giovani e, soprattutto, tra gli stranieri.</w:t>
      </w:r>
    </w:p>
    <w:p w:rsidR="00112F99" w:rsidRDefault="00E572BF" w:rsidP="00A86EBA">
      <w:pPr>
        <w:pStyle w:val="Testonormale"/>
        <w:numPr>
          <w:ilvl w:val="0"/>
          <w:numId w:val="8"/>
        </w:numPr>
        <w:spacing w:after="120"/>
        <w:ind w:left="284" w:hanging="284"/>
        <w:jc w:val="both"/>
        <w:rPr>
          <w:rFonts w:ascii="Arial" w:hAnsi="Arial" w:cs="Arial"/>
          <w:bCs/>
          <w:kern w:val="28"/>
        </w:rPr>
      </w:pPr>
      <w:r>
        <w:rPr>
          <w:rFonts w:ascii="Arial" w:hAnsi="Arial" w:cs="Arial"/>
          <w:bCs/>
          <w:kern w:val="28"/>
        </w:rPr>
        <w:t>G</w:t>
      </w:r>
      <w:r w:rsidR="00112F99">
        <w:rPr>
          <w:rFonts w:ascii="Arial" w:hAnsi="Arial" w:cs="Arial"/>
          <w:bCs/>
          <w:kern w:val="28"/>
        </w:rPr>
        <w:t>li occupati sovraistruiti sono</w:t>
      </w:r>
      <w:r w:rsidR="00112F99" w:rsidRPr="00A238DB">
        <w:rPr>
          <w:rFonts w:ascii="Arial" w:hAnsi="Arial" w:cs="Arial"/>
          <w:bCs/>
          <w:kern w:val="28"/>
        </w:rPr>
        <w:t xml:space="preserve"> 5 milioni 569 mila, il 24,2% del totale e il 35,0% degli occupati diplomati e laureati. Negli anni il fenomeno è in continua crescita, sia in virtù di una domanda di lavoro non adeguata al generale innalzamento del livello di istruzione sia per la mancata corrispondenza tra le competenze specialistiche richieste e quelle possedute.</w:t>
      </w:r>
    </w:p>
    <w:p w:rsidR="00112F99" w:rsidRDefault="00112F99" w:rsidP="00A86EBA">
      <w:pPr>
        <w:pStyle w:val="Testonormale"/>
        <w:numPr>
          <w:ilvl w:val="0"/>
          <w:numId w:val="8"/>
        </w:numPr>
        <w:spacing w:after="120"/>
        <w:ind w:left="284" w:hanging="284"/>
        <w:jc w:val="both"/>
        <w:rPr>
          <w:rFonts w:ascii="Arial" w:hAnsi="Arial" w:cs="Arial"/>
          <w:bCs/>
          <w:kern w:val="28"/>
        </w:rPr>
      </w:pPr>
      <w:r w:rsidRPr="00A238DB">
        <w:rPr>
          <w:rFonts w:ascii="Arial" w:hAnsi="Arial" w:cs="Arial"/>
          <w:bCs/>
          <w:kern w:val="28"/>
        </w:rPr>
        <w:t xml:space="preserve">In entrambi i casi di sottoutilizzo </w:t>
      </w:r>
      <w:r w:rsidR="00516302">
        <w:rPr>
          <w:rFonts w:ascii="Arial" w:hAnsi="Arial" w:cs="Arial"/>
          <w:bCs/>
          <w:kern w:val="28"/>
        </w:rPr>
        <w:t>–</w:t>
      </w:r>
      <w:r w:rsidR="00E572BF">
        <w:rPr>
          <w:rFonts w:ascii="Arial" w:hAnsi="Arial" w:cs="Arial"/>
          <w:bCs/>
          <w:kern w:val="28"/>
        </w:rPr>
        <w:t xml:space="preserve"> </w:t>
      </w:r>
      <w:r w:rsidRPr="00A238DB">
        <w:rPr>
          <w:rFonts w:ascii="Arial" w:hAnsi="Arial" w:cs="Arial"/>
          <w:bCs/>
          <w:kern w:val="28"/>
        </w:rPr>
        <w:t>sottoccupazione e sovraistruzione</w:t>
      </w:r>
      <w:r w:rsidR="00E572BF">
        <w:rPr>
          <w:rFonts w:ascii="Arial" w:hAnsi="Arial" w:cs="Arial"/>
          <w:bCs/>
          <w:kern w:val="28"/>
        </w:rPr>
        <w:t xml:space="preserve"> </w:t>
      </w:r>
      <w:r w:rsidR="00516302">
        <w:rPr>
          <w:rFonts w:ascii="Arial" w:hAnsi="Arial" w:cs="Arial"/>
          <w:bCs/>
          <w:kern w:val="28"/>
        </w:rPr>
        <w:t>–</w:t>
      </w:r>
      <w:r w:rsidRPr="00A238DB">
        <w:rPr>
          <w:rFonts w:ascii="Arial" w:hAnsi="Arial" w:cs="Arial"/>
          <w:bCs/>
          <w:kern w:val="28"/>
        </w:rPr>
        <w:t xml:space="preserve"> l’incidenza è maggiore tra i dipendenti a termine, tra gli occupati a tempo parziale e nei settori degli alberghi e ristorazione e dei servizi alle famiglie</w:t>
      </w:r>
      <w:r w:rsidR="00E572BF">
        <w:rPr>
          <w:rFonts w:ascii="Arial" w:hAnsi="Arial" w:cs="Arial"/>
          <w:bCs/>
          <w:kern w:val="28"/>
        </w:rPr>
        <w:t>.</w:t>
      </w:r>
      <w:r w:rsidRPr="00A238DB">
        <w:rPr>
          <w:rFonts w:ascii="Arial" w:hAnsi="Arial" w:cs="Arial"/>
          <w:bCs/>
          <w:kern w:val="28"/>
        </w:rPr>
        <w:t xml:space="preserve"> </w:t>
      </w:r>
      <w:r w:rsidR="00E572BF">
        <w:rPr>
          <w:rFonts w:ascii="Arial" w:hAnsi="Arial" w:cs="Arial"/>
          <w:bCs/>
          <w:kern w:val="28"/>
        </w:rPr>
        <w:t>G</w:t>
      </w:r>
      <w:r w:rsidRPr="00A238DB">
        <w:rPr>
          <w:rFonts w:ascii="Arial" w:hAnsi="Arial" w:cs="Arial"/>
          <w:bCs/>
          <w:kern w:val="28"/>
        </w:rPr>
        <w:t>li stranieri sono gli occupati più convolti in queste due forme di inadeguatezza dell’impiego svolto.</w:t>
      </w:r>
    </w:p>
    <w:p w:rsidR="00112F99" w:rsidRDefault="00BA3060" w:rsidP="00A86EBA">
      <w:pPr>
        <w:pStyle w:val="Testonormale"/>
        <w:numPr>
          <w:ilvl w:val="0"/>
          <w:numId w:val="8"/>
        </w:numPr>
        <w:spacing w:after="120"/>
        <w:ind w:left="284" w:hanging="284"/>
        <w:jc w:val="both"/>
        <w:rPr>
          <w:rFonts w:ascii="Arial" w:hAnsi="Arial" w:cs="Arial"/>
          <w:bCs/>
          <w:kern w:val="28"/>
        </w:rPr>
      </w:pPr>
      <w:r>
        <w:rPr>
          <w:rFonts w:ascii="Arial" w:hAnsi="Arial" w:cs="Arial"/>
          <w:bCs/>
          <w:kern w:val="28"/>
        </w:rPr>
        <w:t>U</w:t>
      </w:r>
      <w:r w:rsidRPr="00BA3060">
        <w:rPr>
          <w:rFonts w:ascii="Arial" w:hAnsi="Arial" w:cs="Arial"/>
          <w:bCs/>
          <w:kern w:val="28"/>
        </w:rPr>
        <w:t xml:space="preserve">n investimento in istruzione che non trova adeguato sbocco </w:t>
      </w:r>
      <w:r>
        <w:rPr>
          <w:rFonts w:ascii="Arial" w:hAnsi="Arial" w:cs="Arial"/>
          <w:bCs/>
          <w:kern w:val="28"/>
        </w:rPr>
        <w:t xml:space="preserve">lavorativo </w:t>
      </w:r>
      <w:r w:rsidR="00112F99" w:rsidRPr="00AD597F">
        <w:rPr>
          <w:rFonts w:ascii="Arial" w:hAnsi="Arial" w:cs="Arial"/>
          <w:bCs/>
          <w:kern w:val="28"/>
        </w:rPr>
        <w:t xml:space="preserve">può comportare la </w:t>
      </w:r>
      <w:r>
        <w:rPr>
          <w:rFonts w:ascii="Arial" w:hAnsi="Arial" w:cs="Arial"/>
          <w:bCs/>
          <w:kern w:val="28"/>
        </w:rPr>
        <w:t>decisione di migrare all’estero</w:t>
      </w:r>
      <w:r w:rsidR="00112F99" w:rsidRPr="00AD597F">
        <w:rPr>
          <w:rFonts w:ascii="Arial" w:hAnsi="Arial" w:cs="Arial"/>
          <w:bCs/>
          <w:kern w:val="28"/>
        </w:rPr>
        <w:t xml:space="preserve">. </w:t>
      </w:r>
      <w:r>
        <w:rPr>
          <w:rFonts w:ascii="Arial" w:hAnsi="Arial" w:cs="Arial"/>
          <w:bCs/>
          <w:kern w:val="28"/>
        </w:rPr>
        <w:t>Tra i</w:t>
      </w:r>
      <w:r w:rsidRPr="00AD597F">
        <w:rPr>
          <w:rFonts w:ascii="Arial" w:hAnsi="Arial" w:cs="Arial"/>
          <w:bCs/>
          <w:kern w:val="28"/>
        </w:rPr>
        <w:t xml:space="preserve"> dottori di ricerca</w:t>
      </w:r>
      <w:r>
        <w:rPr>
          <w:rFonts w:ascii="Arial" w:hAnsi="Arial" w:cs="Arial"/>
          <w:bCs/>
          <w:kern w:val="28"/>
        </w:rPr>
        <w:t xml:space="preserve"> del 2014 occupati, il </w:t>
      </w:r>
      <w:r w:rsidRPr="00AD597F">
        <w:rPr>
          <w:rFonts w:ascii="Arial" w:hAnsi="Arial" w:cs="Arial"/>
          <w:bCs/>
          <w:kern w:val="28"/>
        </w:rPr>
        <w:t>18,8%</w:t>
      </w:r>
      <w:r w:rsidRPr="00BA3060">
        <w:rPr>
          <w:rFonts w:ascii="Arial" w:hAnsi="Arial" w:cs="Arial"/>
          <w:bCs/>
          <w:kern w:val="28"/>
        </w:rPr>
        <w:t xml:space="preserve"> </w:t>
      </w:r>
      <w:r w:rsidRPr="00AD597F">
        <w:rPr>
          <w:rFonts w:ascii="Arial" w:hAnsi="Arial" w:cs="Arial"/>
          <w:bCs/>
          <w:kern w:val="28"/>
        </w:rPr>
        <w:t>vive e lavora all’estero</w:t>
      </w:r>
      <w:r w:rsidRPr="00BA3060">
        <w:rPr>
          <w:rFonts w:ascii="Arial" w:hAnsi="Arial" w:cs="Arial"/>
          <w:bCs/>
          <w:kern w:val="28"/>
        </w:rPr>
        <w:t xml:space="preserve"> </w:t>
      </w:r>
      <w:r>
        <w:rPr>
          <w:rFonts w:ascii="Arial" w:hAnsi="Arial" w:cs="Arial"/>
          <w:bCs/>
          <w:kern w:val="28"/>
        </w:rPr>
        <w:t>a</w:t>
      </w:r>
      <w:r w:rsidRPr="00AD597F">
        <w:rPr>
          <w:rFonts w:ascii="Arial" w:hAnsi="Arial" w:cs="Arial"/>
          <w:bCs/>
          <w:kern w:val="28"/>
        </w:rPr>
        <w:t xml:space="preserve"> quattro anni dal conseguimento del titolo</w:t>
      </w:r>
      <w:r>
        <w:rPr>
          <w:rFonts w:ascii="Arial" w:hAnsi="Arial" w:cs="Arial"/>
          <w:bCs/>
          <w:kern w:val="28"/>
        </w:rPr>
        <w:t>; p</w:t>
      </w:r>
      <w:r w:rsidR="00112F99" w:rsidRPr="00AD597F">
        <w:rPr>
          <w:rFonts w:ascii="Arial" w:hAnsi="Arial" w:cs="Arial"/>
          <w:bCs/>
          <w:kern w:val="28"/>
        </w:rPr>
        <w:t xml:space="preserve">er </w:t>
      </w:r>
      <w:r w:rsidR="00542DF5">
        <w:rPr>
          <w:rFonts w:ascii="Arial" w:hAnsi="Arial" w:cs="Arial"/>
          <w:bCs/>
          <w:kern w:val="28"/>
        </w:rPr>
        <w:t>essi</w:t>
      </w:r>
      <w:r w:rsidR="00542DF5" w:rsidRPr="00AD597F">
        <w:rPr>
          <w:rFonts w:ascii="Arial" w:hAnsi="Arial" w:cs="Arial"/>
          <w:bCs/>
          <w:kern w:val="28"/>
        </w:rPr>
        <w:t xml:space="preserve"> </w:t>
      </w:r>
      <w:r w:rsidR="00112F99" w:rsidRPr="00AD597F">
        <w:rPr>
          <w:rFonts w:ascii="Arial" w:hAnsi="Arial" w:cs="Arial"/>
          <w:bCs/>
          <w:kern w:val="28"/>
        </w:rPr>
        <w:t xml:space="preserve">si riscontra una maggiore conformità tra la professione svolta e gli studi dottorali, e più soddisfazione per </w:t>
      </w:r>
      <w:r>
        <w:rPr>
          <w:rFonts w:ascii="Arial" w:hAnsi="Arial" w:cs="Arial"/>
          <w:bCs/>
          <w:kern w:val="28"/>
        </w:rPr>
        <w:t xml:space="preserve">il </w:t>
      </w:r>
      <w:r w:rsidR="00112F99" w:rsidRPr="00AD597F">
        <w:rPr>
          <w:rFonts w:ascii="Arial" w:hAnsi="Arial" w:cs="Arial"/>
          <w:bCs/>
          <w:kern w:val="28"/>
        </w:rPr>
        <w:t xml:space="preserve">lavoro. In particolare, tra i dottori che lavorano all’estero è più elevata la quota di professori o ricercatori presso </w:t>
      </w:r>
      <w:r w:rsidR="00E572BF">
        <w:rPr>
          <w:rFonts w:ascii="Arial" w:hAnsi="Arial" w:cs="Arial"/>
          <w:bCs/>
          <w:kern w:val="28"/>
        </w:rPr>
        <w:t xml:space="preserve">le </w:t>
      </w:r>
      <w:r w:rsidR="00112F99" w:rsidRPr="00AD597F">
        <w:rPr>
          <w:rFonts w:ascii="Arial" w:hAnsi="Arial" w:cs="Arial"/>
          <w:bCs/>
          <w:kern w:val="28"/>
        </w:rPr>
        <w:t xml:space="preserve">Università e di ricercatori presso enti pubblici di ricerca (rispettivamente il 13% e il 7,4% contro il 4,3% e il 2,4% in Italia). </w:t>
      </w:r>
    </w:p>
    <w:p w:rsidR="00675E3B" w:rsidRDefault="00675E3B" w:rsidP="00675E3B">
      <w:pPr>
        <w:pStyle w:val="Testonormale"/>
        <w:spacing w:after="120"/>
        <w:ind w:left="720"/>
        <w:jc w:val="both"/>
        <w:rPr>
          <w:rFonts w:ascii="Arial" w:hAnsi="Arial" w:cs="Arial"/>
          <w:bCs/>
          <w:kern w:val="28"/>
        </w:rPr>
      </w:pPr>
    </w:p>
    <w:p w:rsidR="00A86EBA" w:rsidRPr="00525DF0" w:rsidRDefault="00A86EBA" w:rsidP="00675E3B">
      <w:pPr>
        <w:pStyle w:val="Testonormale"/>
        <w:spacing w:after="120"/>
        <w:ind w:left="720"/>
        <w:jc w:val="both"/>
        <w:rPr>
          <w:rFonts w:ascii="Arial" w:hAnsi="Arial" w:cs="Arial"/>
          <w:bCs/>
          <w:kern w:val="28"/>
        </w:rPr>
      </w:pPr>
    </w:p>
    <w:tbl>
      <w:tblPr>
        <w:tblStyle w:val="Grigliatabella"/>
        <w:tblW w:w="855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9"/>
        <w:gridCol w:w="4218"/>
      </w:tblGrid>
      <w:tr w:rsidR="00112F99" w:rsidTr="00A86EBA">
        <w:trPr>
          <w:trHeight w:val="292"/>
        </w:trPr>
        <w:tc>
          <w:tcPr>
            <w:tcW w:w="4339" w:type="dxa"/>
          </w:tcPr>
          <w:p w:rsidR="00112F99" w:rsidRPr="00DD6D02" w:rsidRDefault="00112F99" w:rsidP="00923E1A">
            <w:pPr>
              <w:pStyle w:val="Testonormale"/>
              <w:spacing w:after="120"/>
              <w:jc w:val="both"/>
              <w:rPr>
                <w:rFonts w:ascii="Arial" w:hAnsi="Arial" w:cs="Arial"/>
                <w:bCs/>
                <w:kern w:val="28"/>
              </w:rPr>
            </w:pPr>
            <w:r w:rsidRPr="00637DC5">
              <w:rPr>
                <w:rFonts w:ascii="Arial Narrow" w:hAnsi="Arial Narrow" w:cs="Arial"/>
                <w:b/>
                <w:bCs/>
                <w:kern w:val="28"/>
              </w:rPr>
              <w:t xml:space="preserve">Tasso di attività e tasso di attività “allargato” in Ue e Italia per </w:t>
            </w:r>
            <w:r w:rsidR="00923E1A" w:rsidRPr="00637DC5">
              <w:rPr>
                <w:rFonts w:ascii="Arial Narrow" w:hAnsi="Arial Narrow" w:cs="Arial"/>
                <w:b/>
                <w:bCs/>
                <w:kern w:val="28"/>
              </w:rPr>
              <w:t>genere</w:t>
            </w:r>
            <w:r w:rsidRPr="00637DC5">
              <w:rPr>
                <w:rFonts w:ascii="Arial Narrow" w:hAnsi="Arial Narrow" w:cs="Arial"/>
                <w:b/>
                <w:bCs/>
                <w:kern w:val="28"/>
              </w:rPr>
              <w:t>. Anno 2017</w:t>
            </w:r>
            <w:r w:rsidRPr="00DD6D02">
              <w:rPr>
                <w:rFonts w:ascii="Arial" w:hAnsi="Arial" w:cs="Arial"/>
                <w:bCs/>
                <w:color w:val="404040" w:themeColor="text1" w:themeTint="BF"/>
                <w:kern w:val="28"/>
              </w:rPr>
              <w:t xml:space="preserve"> </w:t>
            </w:r>
            <w:r w:rsidRPr="00A86EBA">
              <w:rPr>
                <w:rFonts w:ascii="Arial Narrow" w:hAnsi="Arial Narrow" w:cs="Arial"/>
                <w:bCs/>
                <w:kern w:val="28"/>
                <w:sz w:val="19"/>
                <w:szCs w:val="19"/>
              </w:rPr>
              <w:t>(</w:t>
            </w:r>
            <w:r w:rsidR="00923E1A" w:rsidRPr="00A86EBA">
              <w:rPr>
                <w:rFonts w:ascii="Arial Narrow" w:hAnsi="Arial Narrow" w:cs="Arial"/>
                <w:bCs/>
                <w:kern w:val="28"/>
                <w:sz w:val="19"/>
                <w:szCs w:val="19"/>
              </w:rPr>
              <w:t>v</w:t>
            </w:r>
            <w:r w:rsidRPr="00A86EBA">
              <w:rPr>
                <w:rFonts w:ascii="Arial Narrow" w:hAnsi="Arial Narrow" w:cs="Arial"/>
                <w:bCs/>
                <w:kern w:val="28"/>
                <w:sz w:val="19"/>
                <w:szCs w:val="19"/>
              </w:rPr>
              <w:t>alori percentuali)</w:t>
            </w:r>
          </w:p>
        </w:tc>
        <w:tc>
          <w:tcPr>
            <w:tcW w:w="4218" w:type="dxa"/>
          </w:tcPr>
          <w:p w:rsidR="00112F99" w:rsidRPr="00A86EBA" w:rsidRDefault="00112F99" w:rsidP="00647E25">
            <w:pPr>
              <w:pStyle w:val="Testonormale"/>
              <w:spacing w:after="120"/>
              <w:jc w:val="both"/>
              <w:rPr>
                <w:rFonts w:ascii="Arial Narrow" w:hAnsi="Arial Narrow" w:cs="Arial"/>
                <w:bCs/>
                <w:kern w:val="28"/>
                <w:sz w:val="22"/>
                <w:szCs w:val="22"/>
              </w:rPr>
            </w:pPr>
            <w:r w:rsidRPr="00637DC5">
              <w:rPr>
                <w:rFonts w:ascii="Arial Narrow" w:hAnsi="Arial Narrow" w:cs="Arial"/>
                <w:b/>
                <w:bCs/>
                <w:kern w:val="28"/>
              </w:rPr>
              <w:t>Tasso di sottoccupazione per caratteristiche socio-demografiche. Anno 2017</w:t>
            </w:r>
            <w:r w:rsidRPr="00A86EBA">
              <w:rPr>
                <w:rFonts w:ascii="Arial Narrow" w:hAnsi="Arial Narrow" w:cs="Arial"/>
                <w:bCs/>
                <w:kern w:val="28"/>
                <w:sz w:val="22"/>
                <w:szCs w:val="22"/>
              </w:rPr>
              <w:t xml:space="preserve"> </w:t>
            </w:r>
            <w:r w:rsidRPr="00A86EBA">
              <w:rPr>
                <w:rFonts w:ascii="Arial Narrow" w:hAnsi="Arial Narrow" w:cs="Arial"/>
                <w:bCs/>
                <w:kern w:val="28"/>
                <w:sz w:val="19"/>
                <w:szCs w:val="19"/>
              </w:rPr>
              <w:t>(valori percentuali)</w:t>
            </w:r>
            <w:r w:rsidRPr="00A86EBA">
              <w:rPr>
                <w:rFonts w:ascii="Arial Narrow" w:hAnsi="Arial Narrow" w:cs="Arial"/>
                <w:bCs/>
                <w:kern w:val="28"/>
                <w:sz w:val="22"/>
                <w:szCs w:val="22"/>
              </w:rPr>
              <w:t xml:space="preserve"> </w:t>
            </w:r>
          </w:p>
        </w:tc>
      </w:tr>
      <w:tr w:rsidR="00112F99" w:rsidTr="00A86EBA">
        <w:trPr>
          <w:trHeight w:val="1800"/>
        </w:trPr>
        <w:tc>
          <w:tcPr>
            <w:tcW w:w="4339" w:type="dxa"/>
          </w:tcPr>
          <w:p w:rsidR="00112F99" w:rsidRDefault="00112F99" w:rsidP="00F03C8C">
            <w:pPr>
              <w:pStyle w:val="Testonormale"/>
              <w:spacing w:after="120"/>
              <w:jc w:val="both"/>
              <w:rPr>
                <w:rFonts w:ascii="Arial" w:hAnsi="Arial" w:cs="Arial"/>
                <w:bCs/>
                <w:kern w:val="28"/>
              </w:rPr>
            </w:pPr>
            <w:r>
              <w:rPr>
                <w:noProof/>
              </w:rPr>
              <w:drawing>
                <wp:inline distT="0" distB="0" distL="0" distR="0" wp14:anchorId="0A68310C" wp14:editId="5A2E44D1">
                  <wp:extent cx="2618105" cy="1686296"/>
                  <wp:effectExtent l="0" t="0" r="0" b="0"/>
                  <wp:docPr id="15" name="Grafico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112F99" w:rsidRDefault="00112F99" w:rsidP="00F03C8C">
            <w:pPr>
              <w:pStyle w:val="Testonormale"/>
              <w:spacing w:after="120"/>
              <w:jc w:val="both"/>
              <w:rPr>
                <w:rFonts w:ascii="Arial" w:hAnsi="Arial" w:cs="Arial"/>
                <w:bCs/>
                <w:kern w:val="28"/>
              </w:rPr>
            </w:pPr>
            <w:r>
              <w:rPr>
                <w:noProof/>
              </w:rPr>
              <w:drawing>
                <wp:inline distT="0" distB="0" distL="0" distR="0" wp14:anchorId="3C12ED41" wp14:editId="3D249C99">
                  <wp:extent cx="2541270" cy="1668483"/>
                  <wp:effectExtent l="0" t="0" r="0" b="8255"/>
                  <wp:docPr id="16" name="Grafico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</w:tbl>
    <w:p w:rsidR="00112F99" w:rsidRPr="00A86EBA" w:rsidRDefault="00112F99" w:rsidP="00A86EBA">
      <w:pPr>
        <w:spacing w:after="160" w:line="259" w:lineRule="auto"/>
        <w:ind w:left="284"/>
        <w:rPr>
          <w:rFonts w:ascii="Arial Narrow" w:hAnsi="Arial Narrow" w:cs="Arial"/>
          <w:bCs/>
          <w:kern w:val="28"/>
          <w:sz w:val="15"/>
          <w:szCs w:val="15"/>
        </w:rPr>
      </w:pPr>
      <w:r w:rsidRPr="00A86EBA">
        <w:rPr>
          <w:rFonts w:ascii="Arial Narrow" w:hAnsi="Arial Narrow" w:cs="Arial"/>
          <w:bCs/>
          <w:kern w:val="28"/>
          <w:sz w:val="15"/>
          <w:szCs w:val="15"/>
        </w:rPr>
        <w:t>Fonte: Istat, Rilevazione sulle forze di lavoro</w:t>
      </w:r>
    </w:p>
    <w:p w:rsidR="003B24D6" w:rsidRDefault="003B24D6" w:rsidP="00046552">
      <w:pPr>
        <w:spacing w:after="160" w:line="259" w:lineRule="auto"/>
        <w:rPr>
          <w:rFonts w:ascii="Arial" w:hAnsi="Arial" w:cs="Arial"/>
          <w:b/>
          <w:bCs/>
          <w:kern w:val="28"/>
          <w:sz w:val="6"/>
          <w:szCs w:val="6"/>
        </w:rPr>
      </w:pPr>
    </w:p>
    <w:p w:rsidR="00245C93" w:rsidRPr="00516302" w:rsidRDefault="00245C93" w:rsidP="00046552">
      <w:pPr>
        <w:spacing w:after="160" w:line="259" w:lineRule="auto"/>
        <w:rPr>
          <w:rFonts w:ascii="Arial" w:hAnsi="Arial" w:cs="Arial"/>
          <w:b/>
          <w:bCs/>
          <w:kern w:val="28"/>
          <w:sz w:val="6"/>
          <w:szCs w:val="6"/>
        </w:rPr>
      </w:pPr>
    </w:p>
    <w:p w:rsidR="00A86EBA" w:rsidRDefault="00A86EBA" w:rsidP="00046552">
      <w:pPr>
        <w:spacing w:after="160" w:line="259" w:lineRule="auto"/>
        <w:rPr>
          <w:rFonts w:ascii="Arial" w:hAnsi="Arial" w:cs="Arial"/>
          <w:b/>
          <w:bCs/>
          <w:kern w:val="28"/>
          <w:sz w:val="22"/>
          <w:szCs w:val="22"/>
        </w:rPr>
      </w:pPr>
    </w:p>
    <w:p w:rsidR="0032244A" w:rsidRPr="00D50433" w:rsidRDefault="0032244A" w:rsidP="00046552">
      <w:pPr>
        <w:spacing w:after="160" w:line="259" w:lineRule="auto"/>
        <w:rPr>
          <w:rFonts w:ascii="Arial" w:hAnsi="Arial" w:cs="Arial"/>
          <w:b/>
          <w:bCs/>
          <w:kern w:val="28"/>
          <w:sz w:val="22"/>
          <w:szCs w:val="22"/>
        </w:rPr>
      </w:pPr>
      <w:r w:rsidRPr="003D15B7">
        <w:rPr>
          <w:rFonts w:ascii="Arial" w:hAnsi="Arial" w:cs="Arial"/>
          <w:b/>
          <w:bCs/>
          <w:kern w:val="28"/>
          <w:sz w:val="22"/>
          <w:szCs w:val="22"/>
        </w:rPr>
        <w:lastRenderedPageBreak/>
        <w:t xml:space="preserve">Capitolo 3. </w:t>
      </w:r>
      <w:r w:rsidR="00724A17" w:rsidRPr="003D15B7">
        <w:rPr>
          <w:rFonts w:ascii="Arial" w:hAnsi="Arial" w:cs="Arial"/>
          <w:b/>
          <w:bCs/>
          <w:kern w:val="28"/>
          <w:sz w:val="22"/>
          <w:szCs w:val="22"/>
        </w:rPr>
        <w:t>Domanda di lavoro delle imprese e disallineamento formativo</w:t>
      </w:r>
    </w:p>
    <w:p w:rsidR="007128C8" w:rsidRDefault="007128C8" w:rsidP="00516302">
      <w:pPr>
        <w:pStyle w:val="Testonormale"/>
        <w:numPr>
          <w:ilvl w:val="0"/>
          <w:numId w:val="1"/>
        </w:numPr>
        <w:spacing w:after="100"/>
        <w:ind w:left="284" w:hanging="284"/>
        <w:jc w:val="both"/>
        <w:rPr>
          <w:rFonts w:ascii="Arial" w:hAnsi="Arial" w:cs="Arial"/>
          <w:bCs/>
          <w:kern w:val="28"/>
        </w:rPr>
      </w:pPr>
      <w:r>
        <w:rPr>
          <w:rFonts w:ascii="Arial" w:hAnsi="Arial" w:cs="Arial"/>
          <w:bCs/>
          <w:kern w:val="28"/>
        </w:rPr>
        <w:t xml:space="preserve">Le </w:t>
      </w:r>
      <w:r w:rsidRPr="00580F87">
        <w:rPr>
          <w:rFonts w:ascii="Arial" w:hAnsi="Arial" w:cs="Arial"/>
          <w:bCs/>
          <w:kern w:val="28"/>
        </w:rPr>
        <w:t>imprese con almeno 10 dipendenti</w:t>
      </w:r>
      <w:r w:rsidR="00BC2639">
        <w:rPr>
          <w:rFonts w:ascii="Arial" w:hAnsi="Arial" w:cs="Arial"/>
          <w:bCs/>
          <w:kern w:val="28"/>
        </w:rPr>
        <w:t>,</w:t>
      </w:r>
      <w:r w:rsidRPr="00580F87">
        <w:rPr>
          <w:rFonts w:ascii="Arial" w:hAnsi="Arial" w:cs="Arial"/>
          <w:bCs/>
          <w:kern w:val="28"/>
        </w:rPr>
        <w:t xml:space="preserve"> </w:t>
      </w:r>
      <w:r w:rsidR="000D3141">
        <w:rPr>
          <w:rFonts w:ascii="Arial" w:hAnsi="Arial" w:cs="Arial"/>
          <w:bCs/>
          <w:kern w:val="28"/>
        </w:rPr>
        <w:t xml:space="preserve">circa </w:t>
      </w:r>
      <w:r w:rsidRPr="00580F87">
        <w:rPr>
          <w:rFonts w:ascii="Arial" w:hAnsi="Arial" w:cs="Arial"/>
          <w:bCs/>
          <w:kern w:val="28"/>
        </w:rPr>
        <w:t xml:space="preserve">11 milioni </w:t>
      </w:r>
      <w:r w:rsidR="00BC2639">
        <w:rPr>
          <w:rFonts w:ascii="Arial" w:hAnsi="Arial" w:cs="Arial"/>
          <w:bCs/>
          <w:kern w:val="28"/>
        </w:rPr>
        <w:t xml:space="preserve">di </w:t>
      </w:r>
      <w:r>
        <w:rPr>
          <w:rFonts w:ascii="Arial" w:hAnsi="Arial" w:cs="Arial"/>
          <w:bCs/>
          <w:kern w:val="28"/>
        </w:rPr>
        <w:t>addetti</w:t>
      </w:r>
      <w:r w:rsidR="000D3141">
        <w:rPr>
          <w:rFonts w:ascii="Arial" w:hAnsi="Arial" w:cs="Arial"/>
          <w:bCs/>
          <w:kern w:val="28"/>
        </w:rPr>
        <w:t xml:space="preserve">, </w:t>
      </w:r>
      <w:r>
        <w:rPr>
          <w:rFonts w:ascii="Arial" w:hAnsi="Arial" w:cs="Arial"/>
          <w:bCs/>
          <w:kern w:val="28"/>
        </w:rPr>
        <w:t>nei</w:t>
      </w:r>
      <w:r w:rsidRPr="00724A17">
        <w:rPr>
          <w:rFonts w:ascii="Arial" w:hAnsi="Arial" w:cs="Arial"/>
          <w:bCs/>
          <w:kern w:val="28"/>
        </w:rPr>
        <w:t xml:space="preserve"> primi tre trimestri del 2018 si caratterizzano per una crescita dell’input di lavoro dipendente comparabile a quella del biennio precedente</w:t>
      </w:r>
      <w:r w:rsidR="00245C93">
        <w:rPr>
          <w:rFonts w:ascii="Arial" w:hAnsi="Arial" w:cs="Arial"/>
          <w:bCs/>
          <w:kern w:val="28"/>
        </w:rPr>
        <w:t xml:space="preserve"> seppure</w:t>
      </w:r>
      <w:r w:rsidRPr="00724A17">
        <w:rPr>
          <w:rFonts w:ascii="Arial" w:hAnsi="Arial" w:cs="Arial"/>
          <w:bCs/>
          <w:kern w:val="28"/>
        </w:rPr>
        <w:t xml:space="preserve"> in</w:t>
      </w:r>
      <w:r w:rsidR="00245C93">
        <w:rPr>
          <w:rFonts w:ascii="Arial" w:hAnsi="Arial" w:cs="Arial"/>
          <w:bCs/>
          <w:kern w:val="28"/>
        </w:rPr>
        <w:t xml:space="preserve"> un</w:t>
      </w:r>
      <w:r w:rsidRPr="00724A17">
        <w:rPr>
          <w:rFonts w:ascii="Arial" w:hAnsi="Arial" w:cs="Arial"/>
          <w:bCs/>
          <w:kern w:val="28"/>
        </w:rPr>
        <w:t xml:space="preserve"> lieve rallentamento tendenziale (+4,1% nel primo trimestre, +3,4% nel secondo e +3,2% nel terzo). L’aumento </w:t>
      </w:r>
      <w:r w:rsidR="00245C93">
        <w:rPr>
          <w:rFonts w:ascii="Arial" w:hAnsi="Arial" w:cs="Arial"/>
          <w:bCs/>
          <w:kern w:val="28"/>
        </w:rPr>
        <w:t xml:space="preserve">complessivo </w:t>
      </w:r>
      <w:r w:rsidRPr="00724A17">
        <w:rPr>
          <w:rFonts w:ascii="Arial" w:hAnsi="Arial" w:cs="Arial"/>
          <w:bCs/>
          <w:kern w:val="28"/>
        </w:rPr>
        <w:t xml:space="preserve">del monte ore lavorate è scaturito dalla creazione netta di posti di lavoro mentre il numero di ore lavorate per dipendente è rimasto sostanzialmente invariato. </w:t>
      </w:r>
    </w:p>
    <w:p w:rsidR="007128C8" w:rsidRPr="00724A17" w:rsidRDefault="007128C8" w:rsidP="00516302">
      <w:pPr>
        <w:pStyle w:val="Testonormale"/>
        <w:numPr>
          <w:ilvl w:val="0"/>
          <w:numId w:val="1"/>
        </w:numPr>
        <w:spacing w:after="100"/>
        <w:ind w:left="284" w:hanging="284"/>
        <w:jc w:val="both"/>
        <w:rPr>
          <w:rFonts w:ascii="Arial" w:hAnsi="Arial" w:cs="Arial"/>
          <w:bCs/>
          <w:kern w:val="28"/>
        </w:rPr>
      </w:pPr>
      <w:r w:rsidRPr="00724A17">
        <w:rPr>
          <w:rFonts w:ascii="Arial" w:hAnsi="Arial" w:cs="Arial"/>
          <w:bCs/>
          <w:kern w:val="28"/>
        </w:rPr>
        <w:t>La crescita delle posizioni lavorative ha riguardato tutti i principali macrosettori</w:t>
      </w:r>
      <w:r w:rsidR="003B24D6">
        <w:rPr>
          <w:rFonts w:ascii="Arial" w:hAnsi="Arial" w:cs="Arial"/>
          <w:bCs/>
          <w:kern w:val="28"/>
        </w:rPr>
        <w:t>.</w:t>
      </w:r>
      <w:r w:rsidRPr="00724A17">
        <w:rPr>
          <w:rFonts w:ascii="Arial" w:hAnsi="Arial" w:cs="Arial"/>
          <w:bCs/>
          <w:kern w:val="28"/>
        </w:rPr>
        <w:t xml:space="preserve"> </w:t>
      </w:r>
      <w:r w:rsidR="003B24D6">
        <w:rPr>
          <w:rFonts w:ascii="Arial" w:hAnsi="Arial" w:cs="Arial"/>
          <w:bCs/>
          <w:kern w:val="28"/>
        </w:rPr>
        <w:t>N</w:t>
      </w:r>
      <w:r w:rsidR="00542DF5">
        <w:rPr>
          <w:rFonts w:ascii="Arial" w:hAnsi="Arial" w:cs="Arial"/>
          <w:bCs/>
          <w:kern w:val="28"/>
        </w:rPr>
        <w:t xml:space="preserve">el 2018 </w:t>
      </w:r>
      <w:r w:rsidRPr="00724A17">
        <w:rPr>
          <w:rFonts w:ascii="Arial" w:hAnsi="Arial" w:cs="Arial"/>
          <w:bCs/>
          <w:kern w:val="28"/>
        </w:rPr>
        <w:t xml:space="preserve">la manifattura presenta i valori tendenziali più elevati dall’inizio della ripresa (+2,3% nel primo trimestre, +2,7% nel secondo, +3,1% nel terzo); nelle costruzioni gli aumenti dei posti di lavoro sono tuttora più bassi che nel resto dell’economia (+2,6% nel terzo trimestre 2018). Riguardo alle attività del terziario, nei servizi di mercato l’incremento dei posti di lavoro è andato progressivamente indebolendosi mentre nelle attività dei servizi alla persona il tasso di crescita delle posizioni lavorative si è dimezzato (da +5,6% a +2,7%). </w:t>
      </w:r>
    </w:p>
    <w:p w:rsidR="007128C8" w:rsidRPr="00724A17" w:rsidRDefault="007128C8" w:rsidP="00516302">
      <w:pPr>
        <w:pStyle w:val="Testonormale"/>
        <w:numPr>
          <w:ilvl w:val="0"/>
          <w:numId w:val="1"/>
        </w:numPr>
        <w:spacing w:after="100"/>
        <w:ind w:left="284" w:hanging="284"/>
        <w:jc w:val="both"/>
        <w:rPr>
          <w:rFonts w:ascii="Arial" w:hAnsi="Arial" w:cs="Arial"/>
          <w:bCs/>
          <w:kern w:val="28"/>
        </w:rPr>
      </w:pPr>
      <w:r w:rsidRPr="00724A17">
        <w:rPr>
          <w:rFonts w:ascii="Arial" w:hAnsi="Arial" w:cs="Arial"/>
          <w:bCs/>
          <w:kern w:val="28"/>
        </w:rPr>
        <w:t>Nel periodo tra il terzo trimestre 2016 e il terzo trimestre 2018</w:t>
      </w:r>
      <w:r>
        <w:rPr>
          <w:rFonts w:ascii="Arial" w:hAnsi="Arial" w:cs="Arial"/>
          <w:bCs/>
          <w:kern w:val="28"/>
        </w:rPr>
        <w:t xml:space="preserve"> le imprese </w:t>
      </w:r>
      <w:r w:rsidR="003D15B7">
        <w:rPr>
          <w:rFonts w:ascii="Arial" w:hAnsi="Arial" w:cs="Arial"/>
          <w:bCs/>
          <w:kern w:val="28"/>
        </w:rPr>
        <w:t>sempre presenti</w:t>
      </w:r>
      <w:r>
        <w:rPr>
          <w:rFonts w:ascii="Arial" w:hAnsi="Arial" w:cs="Arial"/>
          <w:bCs/>
          <w:kern w:val="28"/>
        </w:rPr>
        <w:t xml:space="preserve"> </w:t>
      </w:r>
      <w:r w:rsidRPr="00724A17">
        <w:rPr>
          <w:rFonts w:ascii="Arial" w:hAnsi="Arial" w:cs="Arial"/>
          <w:bCs/>
          <w:kern w:val="28"/>
        </w:rPr>
        <w:t>(oltre</w:t>
      </w:r>
      <w:r>
        <w:rPr>
          <w:rFonts w:ascii="Arial" w:hAnsi="Arial" w:cs="Arial"/>
          <w:bCs/>
          <w:kern w:val="28"/>
        </w:rPr>
        <w:t xml:space="preserve"> u</w:t>
      </w:r>
      <w:r w:rsidRPr="00724A17">
        <w:rPr>
          <w:rFonts w:ascii="Arial" w:hAnsi="Arial" w:cs="Arial"/>
          <w:bCs/>
          <w:kern w:val="28"/>
        </w:rPr>
        <w:t>n milione di unità con un’occupazione pari a 10,1 milioni di posizioni lavorative</w:t>
      </w:r>
      <w:r>
        <w:rPr>
          <w:rFonts w:ascii="Arial" w:hAnsi="Arial" w:cs="Arial"/>
          <w:bCs/>
          <w:kern w:val="28"/>
        </w:rPr>
        <w:t>)</w:t>
      </w:r>
      <w:r w:rsidRPr="00724A17">
        <w:rPr>
          <w:rFonts w:ascii="Arial" w:hAnsi="Arial" w:cs="Arial"/>
          <w:bCs/>
          <w:kern w:val="28"/>
        </w:rPr>
        <w:t xml:space="preserve"> ha</w:t>
      </w:r>
      <w:r>
        <w:rPr>
          <w:rFonts w:ascii="Arial" w:hAnsi="Arial" w:cs="Arial"/>
          <w:bCs/>
          <w:kern w:val="28"/>
        </w:rPr>
        <w:t>nno</w:t>
      </w:r>
      <w:r w:rsidRPr="00724A17">
        <w:rPr>
          <w:rFonts w:ascii="Arial" w:hAnsi="Arial" w:cs="Arial"/>
          <w:bCs/>
          <w:kern w:val="28"/>
        </w:rPr>
        <w:t xml:space="preserve"> creato oltre 1,4 milioni di posti di lavoro e ne ha</w:t>
      </w:r>
      <w:r>
        <w:rPr>
          <w:rFonts w:ascii="Arial" w:hAnsi="Arial" w:cs="Arial"/>
          <w:bCs/>
          <w:kern w:val="28"/>
        </w:rPr>
        <w:t>nno</w:t>
      </w:r>
      <w:r w:rsidRPr="00724A17">
        <w:rPr>
          <w:rFonts w:ascii="Arial" w:hAnsi="Arial" w:cs="Arial"/>
          <w:bCs/>
          <w:kern w:val="28"/>
        </w:rPr>
        <w:t xml:space="preserve"> persi quasi 775 mila, con un saldo positivo di circa 690 mila</w:t>
      </w:r>
      <w:r w:rsidR="00516302">
        <w:rPr>
          <w:rFonts w:ascii="Arial" w:hAnsi="Arial" w:cs="Arial"/>
          <w:bCs/>
          <w:kern w:val="28"/>
        </w:rPr>
        <w:t xml:space="preserve"> unità</w:t>
      </w:r>
      <w:r w:rsidRPr="00724A17">
        <w:rPr>
          <w:rFonts w:ascii="Arial" w:hAnsi="Arial" w:cs="Arial"/>
          <w:bCs/>
          <w:kern w:val="28"/>
        </w:rPr>
        <w:t xml:space="preserve">. La tendenza all’aumento ha coinvolto il 37,3% delle imprese a fronte del 26,3% </w:t>
      </w:r>
      <w:r w:rsidR="003B24D6">
        <w:rPr>
          <w:rFonts w:ascii="Arial" w:hAnsi="Arial" w:cs="Arial"/>
          <w:bCs/>
          <w:kern w:val="28"/>
        </w:rPr>
        <w:t>che ha</w:t>
      </w:r>
      <w:r w:rsidR="00516302">
        <w:rPr>
          <w:rFonts w:ascii="Arial" w:hAnsi="Arial" w:cs="Arial"/>
          <w:bCs/>
          <w:kern w:val="28"/>
        </w:rPr>
        <w:t>nno</w:t>
      </w:r>
      <w:r w:rsidR="003B24D6">
        <w:rPr>
          <w:rFonts w:ascii="Arial" w:hAnsi="Arial" w:cs="Arial"/>
          <w:bCs/>
          <w:kern w:val="28"/>
        </w:rPr>
        <w:t xml:space="preserve"> ridotto </w:t>
      </w:r>
      <w:r w:rsidRPr="00724A17">
        <w:rPr>
          <w:rFonts w:ascii="Arial" w:hAnsi="Arial" w:cs="Arial"/>
          <w:bCs/>
          <w:kern w:val="28"/>
        </w:rPr>
        <w:t xml:space="preserve">le posizioni lavorative. La crescita è diffusa soprattutto tra le imprese di dimensione media e grande. I casi di espansione occupazionale sono risultati più frequenti nella manifattura (42,5% delle imprese a fronte di circa il 37% nei servizi di mercato e il 30,4% nei servizi alla persona). </w:t>
      </w:r>
    </w:p>
    <w:p w:rsidR="007128C8" w:rsidRDefault="00542DF5" w:rsidP="00516302">
      <w:pPr>
        <w:pStyle w:val="Testonormale"/>
        <w:numPr>
          <w:ilvl w:val="0"/>
          <w:numId w:val="1"/>
        </w:numPr>
        <w:spacing w:after="100"/>
        <w:ind w:left="284" w:hanging="284"/>
        <w:jc w:val="both"/>
        <w:rPr>
          <w:rFonts w:ascii="Arial" w:hAnsi="Arial" w:cs="Arial"/>
          <w:bCs/>
          <w:kern w:val="28"/>
        </w:rPr>
      </w:pPr>
      <w:r>
        <w:rPr>
          <w:rFonts w:ascii="Arial" w:hAnsi="Arial" w:cs="Arial"/>
          <w:bCs/>
          <w:kern w:val="28"/>
        </w:rPr>
        <w:t>Sulla base dei</w:t>
      </w:r>
      <w:r w:rsidR="007128C8" w:rsidRPr="00724A17">
        <w:rPr>
          <w:rFonts w:ascii="Arial" w:hAnsi="Arial" w:cs="Arial"/>
          <w:bCs/>
          <w:kern w:val="28"/>
        </w:rPr>
        <w:t xml:space="preserve"> flussi annuali di assunzioni delle imprese italiane nel triennio 2014-2016 </w:t>
      </w:r>
      <w:r>
        <w:rPr>
          <w:rFonts w:ascii="Arial" w:hAnsi="Arial" w:cs="Arial"/>
          <w:bCs/>
          <w:kern w:val="28"/>
        </w:rPr>
        <w:t>è stata</w:t>
      </w:r>
      <w:r w:rsidR="007128C8" w:rsidRPr="00724A17">
        <w:rPr>
          <w:rFonts w:ascii="Arial" w:hAnsi="Arial" w:cs="Arial"/>
          <w:bCs/>
          <w:kern w:val="28"/>
        </w:rPr>
        <w:t xml:space="preserve"> calcolata una misura del grado di disallineamento tra il titolo di studio conseguito dagli assunti e quello più richiesto dalle imprese per la medesima professione. Nel triennio il fenomeno ha interessato più della metà (53,5%) delle assunzioni </w:t>
      </w:r>
      <w:r w:rsidR="003B24D6">
        <w:rPr>
          <w:rFonts w:ascii="Arial" w:hAnsi="Arial" w:cs="Arial"/>
          <w:bCs/>
          <w:kern w:val="28"/>
        </w:rPr>
        <w:t>n</w:t>
      </w:r>
      <w:r w:rsidR="003B24D6" w:rsidRPr="00724A17">
        <w:rPr>
          <w:rFonts w:ascii="Arial" w:hAnsi="Arial" w:cs="Arial"/>
          <w:bCs/>
          <w:kern w:val="28"/>
        </w:rPr>
        <w:t xml:space="preserve">elle </w:t>
      </w:r>
      <w:r w:rsidR="007128C8" w:rsidRPr="00724A17">
        <w:rPr>
          <w:rFonts w:ascii="Arial" w:hAnsi="Arial" w:cs="Arial"/>
          <w:bCs/>
          <w:kern w:val="28"/>
        </w:rPr>
        <w:t>imprese italiane: la diffusione della sovraistruzione (31,6%) è maggiore di quella della sottoistruzione (21,8%), soprattutto per gli under 29</w:t>
      </w:r>
      <w:r w:rsidR="003B24D6">
        <w:rPr>
          <w:rFonts w:ascii="Arial" w:hAnsi="Arial" w:cs="Arial"/>
          <w:bCs/>
          <w:kern w:val="28"/>
        </w:rPr>
        <w:t xml:space="preserve">; </w:t>
      </w:r>
      <w:r w:rsidR="007128C8" w:rsidRPr="00724A17">
        <w:rPr>
          <w:rFonts w:ascii="Arial" w:hAnsi="Arial" w:cs="Arial"/>
          <w:bCs/>
          <w:kern w:val="28"/>
        </w:rPr>
        <w:t>per gli over 49 prevalgono</w:t>
      </w:r>
      <w:r w:rsidR="003B24D6">
        <w:rPr>
          <w:rFonts w:ascii="Arial" w:hAnsi="Arial" w:cs="Arial"/>
          <w:bCs/>
          <w:kern w:val="28"/>
        </w:rPr>
        <w:t xml:space="preserve"> invece </w:t>
      </w:r>
      <w:r w:rsidR="007128C8" w:rsidRPr="00724A17">
        <w:rPr>
          <w:rFonts w:ascii="Arial" w:hAnsi="Arial" w:cs="Arial"/>
          <w:bCs/>
          <w:kern w:val="28"/>
        </w:rPr>
        <w:t xml:space="preserve">i sottoistruiti. </w:t>
      </w:r>
    </w:p>
    <w:p w:rsidR="007128C8" w:rsidRDefault="007128C8" w:rsidP="00516302">
      <w:pPr>
        <w:pStyle w:val="Testonormale"/>
        <w:numPr>
          <w:ilvl w:val="0"/>
          <w:numId w:val="1"/>
        </w:numPr>
        <w:spacing w:after="100"/>
        <w:ind w:left="284" w:hanging="284"/>
        <w:jc w:val="both"/>
        <w:rPr>
          <w:rFonts w:ascii="Arial" w:hAnsi="Arial" w:cs="Arial"/>
          <w:bCs/>
          <w:kern w:val="28"/>
        </w:rPr>
      </w:pPr>
      <w:r>
        <w:rPr>
          <w:rFonts w:ascii="Arial" w:hAnsi="Arial" w:cs="Arial"/>
          <w:bCs/>
          <w:kern w:val="28"/>
        </w:rPr>
        <w:t xml:space="preserve">Nei settori </w:t>
      </w:r>
      <w:r w:rsidRPr="00A10F5B">
        <w:rPr>
          <w:rFonts w:ascii="Arial" w:hAnsi="Arial" w:cs="Arial"/>
          <w:bCs/>
          <w:kern w:val="28"/>
        </w:rPr>
        <w:t>manifatturiero, delle costruzioni e dei servizi alla persona</w:t>
      </w:r>
      <w:r>
        <w:rPr>
          <w:rFonts w:ascii="Arial" w:hAnsi="Arial" w:cs="Arial"/>
          <w:bCs/>
          <w:kern w:val="28"/>
        </w:rPr>
        <w:t xml:space="preserve"> vi è</w:t>
      </w:r>
      <w:r w:rsidRPr="00A10F5B">
        <w:rPr>
          <w:rFonts w:ascii="Arial" w:hAnsi="Arial" w:cs="Arial"/>
          <w:bCs/>
          <w:kern w:val="28"/>
        </w:rPr>
        <w:t xml:space="preserve"> un’alta concentrazione di sovraistruzione e una bassa incidenza della sottoistruzione, laddove nel settore dei servizi di mercato la diffusione della sovraistruzione è sotto la media. </w:t>
      </w:r>
    </w:p>
    <w:p w:rsidR="00DD6D02" w:rsidRDefault="00DD6D02" w:rsidP="00516302">
      <w:pPr>
        <w:pStyle w:val="Testonormale"/>
        <w:numPr>
          <w:ilvl w:val="0"/>
          <w:numId w:val="1"/>
        </w:numPr>
        <w:spacing w:after="100"/>
        <w:ind w:left="284" w:hanging="284"/>
        <w:jc w:val="both"/>
        <w:rPr>
          <w:rFonts w:ascii="Arial" w:hAnsi="Arial" w:cs="Arial"/>
          <w:bCs/>
          <w:kern w:val="28"/>
        </w:rPr>
      </w:pPr>
      <w:r w:rsidRPr="00055118">
        <w:rPr>
          <w:rFonts w:ascii="Arial" w:hAnsi="Arial" w:cs="Arial"/>
          <w:bCs/>
          <w:kern w:val="28"/>
        </w:rPr>
        <w:t>La maggior diffusione del fenomeno della sovraistruzione nei settori a più alta intensità di conoscenza (31,4%) e tecnologia (42%) si può leggere come il sovrapporsi di due fenomeni: la capacità strategica delle imprese in tali settori di investire e attrarre professionalità qualificate e l’eccesso di offerta di capitale umano</w:t>
      </w:r>
    </w:p>
    <w:p w:rsidR="00DD6D02" w:rsidRDefault="00DD6D02" w:rsidP="00516302">
      <w:pPr>
        <w:pStyle w:val="Testonormale"/>
        <w:spacing w:after="100"/>
        <w:ind w:left="284"/>
        <w:jc w:val="both"/>
        <w:rPr>
          <w:rFonts w:ascii="Arial" w:hAnsi="Arial" w:cs="Arial"/>
          <w:bCs/>
          <w:kern w:val="28"/>
        </w:rPr>
      </w:pPr>
    </w:p>
    <w:tbl>
      <w:tblPr>
        <w:tblStyle w:val="Grigliatabella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49"/>
      </w:tblGrid>
      <w:tr w:rsidR="00526866" w:rsidTr="00516302">
        <w:trPr>
          <w:trHeight w:val="534"/>
        </w:trPr>
        <w:tc>
          <w:tcPr>
            <w:tcW w:w="8449" w:type="dxa"/>
          </w:tcPr>
          <w:p w:rsidR="00526866" w:rsidRPr="00CB588D" w:rsidRDefault="00526866" w:rsidP="00647E25">
            <w:pPr>
              <w:spacing w:after="120"/>
              <w:rPr>
                <w:rFonts w:ascii="Arial" w:hAnsi="Arial" w:cs="Arial"/>
                <w:b/>
                <w:bCs/>
                <w:kern w:val="28"/>
                <w:sz w:val="16"/>
                <w:szCs w:val="16"/>
              </w:rPr>
            </w:pPr>
            <w:r w:rsidRPr="00ED4C5A">
              <w:rPr>
                <w:rFonts w:ascii="Arial Narrow" w:hAnsi="Arial Narrow" w:cs="Arial"/>
                <w:b/>
                <w:bCs/>
                <w:kern w:val="28"/>
                <w:sz w:val="20"/>
                <w:szCs w:val="20"/>
              </w:rPr>
              <w:t>Monte ore lavorate, posizioni lavorative</w:t>
            </w:r>
            <w:r w:rsidR="004E76BB">
              <w:rPr>
                <w:rFonts w:ascii="Arial Narrow" w:hAnsi="Arial Narrow" w:cs="Arial"/>
                <w:b/>
                <w:bCs/>
                <w:kern w:val="28"/>
                <w:sz w:val="20"/>
                <w:szCs w:val="20"/>
              </w:rPr>
              <w:t xml:space="preserve"> e ore lavorate pro capite. </w:t>
            </w:r>
            <w:r w:rsidR="00647E25">
              <w:rPr>
                <w:rFonts w:ascii="Arial Narrow" w:hAnsi="Arial Narrow" w:cs="Arial"/>
                <w:b/>
                <w:bCs/>
                <w:kern w:val="28"/>
                <w:sz w:val="20"/>
                <w:szCs w:val="20"/>
              </w:rPr>
              <w:t xml:space="preserve">Trimestri </w:t>
            </w:r>
            <w:r w:rsidR="004E76BB">
              <w:rPr>
                <w:rFonts w:ascii="Arial Narrow" w:hAnsi="Arial Narrow" w:cs="Arial"/>
                <w:b/>
                <w:bCs/>
                <w:kern w:val="28"/>
                <w:sz w:val="20"/>
                <w:szCs w:val="20"/>
              </w:rPr>
              <w:t xml:space="preserve">I </w:t>
            </w:r>
            <w:r w:rsidRPr="00ED4C5A">
              <w:rPr>
                <w:rFonts w:ascii="Arial Narrow" w:hAnsi="Arial Narrow" w:cs="Arial"/>
                <w:b/>
                <w:bCs/>
                <w:kern w:val="28"/>
                <w:sz w:val="20"/>
                <w:szCs w:val="20"/>
              </w:rPr>
              <w:t>2012-</w:t>
            </w:r>
            <w:r w:rsidR="004E76BB">
              <w:rPr>
                <w:rFonts w:ascii="Arial Narrow" w:hAnsi="Arial Narrow" w:cs="Arial"/>
                <w:b/>
                <w:bCs/>
                <w:kern w:val="28"/>
                <w:sz w:val="20"/>
                <w:szCs w:val="20"/>
              </w:rPr>
              <w:t>II</w:t>
            </w:r>
            <w:r w:rsidR="004A6897">
              <w:rPr>
                <w:rFonts w:ascii="Arial Narrow" w:hAnsi="Arial Narrow" w:cs="Arial"/>
                <w:b/>
                <w:bCs/>
                <w:kern w:val="28"/>
                <w:sz w:val="20"/>
                <w:szCs w:val="20"/>
              </w:rPr>
              <w:t>I</w:t>
            </w:r>
            <w:r w:rsidR="004E76BB">
              <w:rPr>
                <w:rFonts w:ascii="Arial Narrow" w:hAnsi="Arial Narrow" w:cs="Arial"/>
                <w:b/>
                <w:bCs/>
                <w:kern w:val="28"/>
                <w:sz w:val="20"/>
                <w:szCs w:val="20"/>
              </w:rPr>
              <w:t xml:space="preserve"> </w:t>
            </w:r>
            <w:r w:rsidRPr="00ED4C5A">
              <w:rPr>
                <w:rFonts w:ascii="Arial Narrow" w:hAnsi="Arial Narrow" w:cs="Arial"/>
                <w:b/>
                <w:bCs/>
                <w:kern w:val="28"/>
                <w:sz w:val="20"/>
                <w:szCs w:val="20"/>
              </w:rPr>
              <w:t>201</w:t>
            </w:r>
            <w:r w:rsidR="004A6897">
              <w:rPr>
                <w:rFonts w:ascii="Arial Narrow" w:hAnsi="Arial Narrow" w:cs="Arial"/>
                <w:b/>
                <w:bCs/>
                <w:kern w:val="28"/>
                <w:sz w:val="20"/>
                <w:szCs w:val="20"/>
              </w:rPr>
              <w:t>8</w:t>
            </w:r>
            <w:r w:rsidRPr="00CB588D">
              <w:rPr>
                <w:rFonts w:ascii="Arial" w:hAnsi="Arial" w:cs="Arial"/>
                <w:b/>
                <w:bCs/>
                <w:kern w:val="28"/>
                <w:sz w:val="16"/>
                <w:szCs w:val="16"/>
              </w:rPr>
              <w:t xml:space="preserve"> </w:t>
            </w:r>
            <w:r w:rsidR="004332A1" w:rsidRPr="00A86EBA">
              <w:rPr>
                <w:rFonts w:ascii="Arial Narrow" w:hAnsi="Arial Narrow" w:cs="Arial"/>
                <w:bCs/>
                <w:kern w:val="28"/>
                <w:sz w:val="19"/>
                <w:szCs w:val="19"/>
              </w:rPr>
              <w:t>(</w:t>
            </w:r>
            <w:r w:rsidRPr="00A86EBA">
              <w:rPr>
                <w:rFonts w:ascii="Arial Narrow" w:hAnsi="Arial Narrow" w:cs="Arial"/>
                <w:bCs/>
                <w:kern w:val="28"/>
                <w:sz w:val="19"/>
                <w:szCs w:val="19"/>
              </w:rPr>
              <w:t xml:space="preserve">variazioni </w:t>
            </w:r>
            <w:r w:rsidR="00ED4C5A" w:rsidRPr="00A86EBA">
              <w:rPr>
                <w:rFonts w:ascii="Arial Narrow" w:hAnsi="Arial Narrow" w:cs="Arial"/>
                <w:bCs/>
                <w:kern w:val="28"/>
                <w:sz w:val="19"/>
                <w:szCs w:val="19"/>
              </w:rPr>
              <w:t>tendenziali</w:t>
            </w:r>
            <w:r w:rsidR="004332A1" w:rsidRPr="00A86EBA">
              <w:rPr>
                <w:rFonts w:ascii="Arial Narrow" w:hAnsi="Arial Narrow" w:cs="Arial"/>
                <w:bCs/>
                <w:kern w:val="28"/>
                <w:sz w:val="19"/>
                <w:szCs w:val="19"/>
              </w:rPr>
              <w:t>)</w:t>
            </w:r>
            <w:r w:rsidR="00ED4C5A" w:rsidRPr="00ED4C5A">
              <w:rPr>
                <w:rFonts w:ascii="Arial Narrow" w:hAnsi="Arial Narrow" w:cs="Arial"/>
                <w:bCs/>
                <w:kern w:val="28"/>
                <w:sz w:val="19"/>
                <w:szCs w:val="19"/>
              </w:rPr>
              <w:t xml:space="preserve"> </w:t>
            </w:r>
          </w:p>
        </w:tc>
      </w:tr>
      <w:tr w:rsidR="00526866" w:rsidTr="00516302">
        <w:tblPrEx>
          <w:tblCellMar>
            <w:left w:w="70" w:type="dxa"/>
            <w:right w:w="70" w:type="dxa"/>
          </w:tblCellMar>
        </w:tblPrEx>
        <w:trPr>
          <w:trHeight w:val="3246"/>
        </w:trPr>
        <w:tc>
          <w:tcPr>
            <w:tcW w:w="8449" w:type="dxa"/>
          </w:tcPr>
          <w:p w:rsidR="00526866" w:rsidRDefault="00A94796" w:rsidP="00F03C8C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kern w:val="28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32DBBF8" wp14:editId="0C90C5FB">
                  <wp:extent cx="4552950" cy="1857375"/>
                  <wp:effectExtent l="0" t="0" r="0" b="0"/>
                  <wp:docPr id="21" name="Grafico 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  <w:p w:rsidR="00526866" w:rsidRPr="00ED4C5A" w:rsidRDefault="00A86EBA" w:rsidP="00A86EBA">
            <w:pPr>
              <w:tabs>
                <w:tab w:val="left" w:pos="0"/>
              </w:tabs>
              <w:spacing w:after="160" w:line="259" w:lineRule="auto"/>
              <w:rPr>
                <w:rFonts w:ascii="Arial Narrow" w:hAnsi="Arial Narrow" w:cs="Arial"/>
                <w:bCs/>
                <w:kern w:val="28"/>
                <w:sz w:val="15"/>
                <w:szCs w:val="15"/>
              </w:rPr>
            </w:pPr>
            <w:r>
              <w:rPr>
                <w:rFonts w:ascii="Arial Narrow" w:hAnsi="Arial Narrow" w:cs="Arial"/>
                <w:bCs/>
                <w:kern w:val="28"/>
                <w:sz w:val="15"/>
                <w:szCs w:val="15"/>
              </w:rPr>
              <w:t xml:space="preserve">  </w:t>
            </w:r>
            <w:r w:rsidR="00526866" w:rsidRPr="00ED4C5A">
              <w:rPr>
                <w:rFonts w:ascii="Arial Narrow" w:hAnsi="Arial Narrow" w:cs="Arial"/>
                <w:bCs/>
                <w:kern w:val="28"/>
                <w:sz w:val="15"/>
                <w:szCs w:val="15"/>
              </w:rPr>
              <w:t>Fonte: Istat, Vela e Grandi imprese</w:t>
            </w:r>
          </w:p>
        </w:tc>
      </w:tr>
    </w:tbl>
    <w:p w:rsidR="00A86EBA" w:rsidRDefault="00A86EBA" w:rsidP="00A86EBA">
      <w:pPr>
        <w:rPr>
          <w:rFonts w:ascii="Arial" w:hAnsi="Arial" w:cs="Arial"/>
          <w:b/>
          <w:bCs/>
          <w:kern w:val="28"/>
          <w:sz w:val="22"/>
          <w:szCs w:val="22"/>
        </w:rPr>
      </w:pPr>
    </w:p>
    <w:p w:rsidR="0032244A" w:rsidRDefault="0032244A" w:rsidP="00A86EBA">
      <w:pPr>
        <w:rPr>
          <w:rFonts w:ascii="Arial" w:hAnsi="Arial" w:cs="Arial"/>
          <w:b/>
          <w:bCs/>
          <w:kern w:val="28"/>
          <w:sz w:val="22"/>
          <w:szCs w:val="22"/>
        </w:rPr>
      </w:pPr>
      <w:r w:rsidRPr="00837007">
        <w:rPr>
          <w:rFonts w:ascii="Arial" w:hAnsi="Arial" w:cs="Arial"/>
          <w:b/>
          <w:bCs/>
          <w:kern w:val="28"/>
          <w:sz w:val="22"/>
          <w:szCs w:val="22"/>
        </w:rPr>
        <w:lastRenderedPageBreak/>
        <w:t xml:space="preserve">Capitolo 4. </w:t>
      </w:r>
      <w:r w:rsidR="00185E46" w:rsidRPr="00837007">
        <w:rPr>
          <w:rFonts w:ascii="Arial" w:hAnsi="Arial" w:cs="Arial"/>
          <w:b/>
          <w:bCs/>
          <w:kern w:val="28"/>
          <w:sz w:val="22"/>
          <w:szCs w:val="22"/>
        </w:rPr>
        <w:t>L’utilizzo delle agevolazioni contributive a sostegno dell’occupazione da parte delle imprese</w:t>
      </w:r>
    </w:p>
    <w:p w:rsidR="00A86EBA" w:rsidRPr="00915BE7" w:rsidRDefault="00A86EBA" w:rsidP="00915BE7">
      <w:pPr>
        <w:pStyle w:val="Testonormale"/>
        <w:spacing w:after="120" w:line="259" w:lineRule="auto"/>
        <w:jc w:val="both"/>
        <w:rPr>
          <w:rFonts w:ascii="Arial" w:hAnsi="Arial" w:cs="Arial"/>
          <w:b/>
          <w:bCs/>
          <w:kern w:val="28"/>
          <w:sz w:val="22"/>
          <w:szCs w:val="22"/>
        </w:rPr>
      </w:pPr>
    </w:p>
    <w:p w:rsidR="00C9188F" w:rsidRDefault="00B4591B" w:rsidP="00185E46">
      <w:pPr>
        <w:pStyle w:val="Testonormale"/>
        <w:numPr>
          <w:ilvl w:val="0"/>
          <w:numId w:val="1"/>
        </w:numPr>
        <w:spacing w:after="120"/>
        <w:ind w:left="284" w:hanging="284"/>
        <w:jc w:val="both"/>
        <w:rPr>
          <w:rFonts w:ascii="Arial" w:hAnsi="Arial" w:cs="Arial"/>
          <w:bCs/>
          <w:kern w:val="28"/>
        </w:rPr>
      </w:pPr>
      <w:r>
        <w:rPr>
          <w:rFonts w:ascii="Arial" w:hAnsi="Arial" w:cs="Arial"/>
          <w:bCs/>
          <w:kern w:val="28"/>
        </w:rPr>
        <w:t>N</w:t>
      </w:r>
      <w:r w:rsidR="00EA6915">
        <w:rPr>
          <w:rFonts w:ascii="Arial" w:hAnsi="Arial" w:cs="Arial"/>
          <w:bCs/>
          <w:kern w:val="28"/>
        </w:rPr>
        <w:t xml:space="preserve">egli anni </w:t>
      </w:r>
      <w:r>
        <w:rPr>
          <w:rFonts w:ascii="Arial" w:hAnsi="Arial" w:cs="Arial"/>
          <w:bCs/>
          <w:kern w:val="28"/>
        </w:rPr>
        <w:t>l</w:t>
      </w:r>
      <w:r w:rsidR="00837007">
        <w:rPr>
          <w:rFonts w:ascii="Arial" w:hAnsi="Arial" w:cs="Arial"/>
          <w:bCs/>
          <w:kern w:val="28"/>
        </w:rPr>
        <w:t>’incidenza</w:t>
      </w:r>
      <w:r w:rsidR="00185E46" w:rsidRPr="00185E46">
        <w:rPr>
          <w:rFonts w:ascii="Arial" w:hAnsi="Arial" w:cs="Arial"/>
          <w:bCs/>
          <w:kern w:val="28"/>
        </w:rPr>
        <w:t xml:space="preserve"> </w:t>
      </w:r>
      <w:r w:rsidR="00EA6915">
        <w:rPr>
          <w:rFonts w:ascii="Arial" w:hAnsi="Arial" w:cs="Arial"/>
          <w:bCs/>
          <w:kern w:val="28"/>
        </w:rPr>
        <w:t>dei rapporti di lavoro</w:t>
      </w:r>
      <w:r w:rsidR="00185E46" w:rsidRPr="00185E46">
        <w:rPr>
          <w:rFonts w:ascii="Arial" w:hAnsi="Arial" w:cs="Arial"/>
          <w:bCs/>
          <w:kern w:val="28"/>
        </w:rPr>
        <w:t xml:space="preserve"> agevolati sul totale </w:t>
      </w:r>
      <w:r w:rsidR="00EA6915">
        <w:rPr>
          <w:rFonts w:ascii="Arial" w:hAnsi="Arial" w:cs="Arial"/>
          <w:bCs/>
          <w:kern w:val="28"/>
        </w:rPr>
        <w:t>delle</w:t>
      </w:r>
      <w:r w:rsidR="00185E46" w:rsidRPr="00185E46">
        <w:rPr>
          <w:rFonts w:ascii="Arial" w:hAnsi="Arial" w:cs="Arial"/>
          <w:bCs/>
          <w:kern w:val="28"/>
        </w:rPr>
        <w:t xml:space="preserve"> assunzion</w:t>
      </w:r>
      <w:r w:rsidR="00EA6915">
        <w:rPr>
          <w:rFonts w:ascii="Arial" w:hAnsi="Arial" w:cs="Arial"/>
          <w:bCs/>
          <w:kern w:val="28"/>
        </w:rPr>
        <w:t>i</w:t>
      </w:r>
      <w:r w:rsidR="00185E46" w:rsidRPr="00185E46">
        <w:rPr>
          <w:rFonts w:ascii="Arial" w:hAnsi="Arial" w:cs="Arial"/>
          <w:bCs/>
          <w:kern w:val="28"/>
        </w:rPr>
        <w:t xml:space="preserve"> e trasformazion</w:t>
      </w:r>
      <w:r w:rsidR="00EA6915">
        <w:rPr>
          <w:rFonts w:ascii="Arial" w:hAnsi="Arial" w:cs="Arial"/>
          <w:bCs/>
          <w:kern w:val="28"/>
        </w:rPr>
        <w:t>i</w:t>
      </w:r>
      <w:r w:rsidR="00185E46" w:rsidRPr="00185E46">
        <w:rPr>
          <w:rFonts w:ascii="Arial" w:hAnsi="Arial" w:cs="Arial"/>
          <w:bCs/>
          <w:kern w:val="28"/>
        </w:rPr>
        <w:t xml:space="preserve"> a tempo indeterminato</w:t>
      </w:r>
      <w:r>
        <w:rPr>
          <w:rFonts w:ascii="Arial" w:hAnsi="Arial" w:cs="Arial"/>
          <w:bCs/>
          <w:kern w:val="28"/>
        </w:rPr>
        <w:t xml:space="preserve"> ha avuto un andamento </w:t>
      </w:r>
      <w:r w:rsidR="00516302">
        <w:rPr>
          <w:rFonts w:ascii="Arial" w:hAnsi="Arial" w:cs="Arial"/>
          <w:bCs/>
          <w:kern w:val="28"/>
        </w:rPr>
        <w:t>variabile</w:t>
      </w:r>
      <w:r w:rsidR="00185E46" w:rsidRPr="00185E46">
        <w:rPr>
          <w:rFonts w:ascii="Arial" w:hAnsi="Arial" w:cs="Arial"/>
          <w:bCs/>
          <w:kern w:val="28"/>
        </w:rPr>
        <w:t xml:space="preserve">: dal 16% del 2014 </w:t>
      </w:r>
      <w:r>
        <w:rPr>
          <w:rFonts w:ascii="Arial" w:hAnsi="Arial" w:cs="Arial"/>
          <w:bCs/>
          <w:kern w:val="28"/>
        </w:rPr>
        <w:t xml:space="preserve">si è attestata </w:t>
      </w:r>
      <w:r w:rsidR="00185E46" w:rsidRPr="00185E46">
        <w:rPr>
          <w:rFonts w:ascii="Arial" w:hAnsi="Arial" w:cs="Arial"/>
          <w:bCs/>
          <w:kern w:val="28"/>
        </w:rPr>
        <w:t xml:space="preserve">al 61% </w:t>
      </w:r>
      <w:r>
        <w:rPr>
          <w:rFonts w:ascii="Arial" w:hAnsi="Arial" w:cs="Arial"/>
          <w:bCs/>
          <w:kern w:val="28"/>
        </w:rPr>
        <w:t>n</w:t>
      </w:r>
      <w:r w:rsidRPr="00185E46">
        <w:rPr>
          <w:rFonts w:ascii="Arial" w:hAnsi="Arial" w:cs="Arial"/>
          <w:bCs/>
          <w:kern w:val="28"/>
        </w:rPr>
        <w:t xml:space="preserve">el </w:t>
      </w:r>
      <w:r w:rsidR="00185E46" w:rsidRPr="00185E46">
        <w:rPr>
          <w:rFonts w:ascii="Arial" w:hAnsi="Arial" w:cs="Arial"/>
          <w:bCs/>
          <w:kern w:val="28"/>
        </w:rPr>
        <w:t>2015 per poi scendere al minimo del 10% del 2017</w:t>
      </w:r>
      <w:r>
        <w:rPr>
          <w:rFonts w:ascii="Arial" w:hAnsi="Arial" w:cs="Arial"/>
          <w:bCs/>
          <w:kern w:val="28"/>
        </w:rPr>
        <w:t xml:space="preserve">. Nei </w:t>
      </w:r>
      <w:r w:rsidR="00185E46" w:rsidRPr="00185E46">
        <w:rPr>
          <w:rFonts w:ascii="Arial" w:hAnsi="Arial" w:cs="Arial"/>
          <w:bCs/>
          <w:kern w:val="28"/>
        </w:rPr>
        <w:t>primi nove mesi</w:t>
      </w:r>
      <w:r>
        <w:rPr>
          <w:rFonts w:ascii="Arial" w:hAnsi="Arial" w:cs="Arial"/>
          <w:bCs/>
          <w:kern w:val="28"/>
        </w:rPr>
        <w:t xml:space="preserve"> del 2018</w:t>
      </w:r>
      <w:r w:rsidRPr="00185E46">
        <w:rPr>
          <w:rFonts w:ascii="Arial" w:hAnsi="Arial" w:cs="Arial"/>
          <w:bCs/>
          <w:kern w:val="28"/>
        </w:rPr>
        <w:t xml:space="preserve"> </w:t>
      </w:r>
      <w:r w:rsidR="00185E46" w:rsidRPr="00185E46">
        <w:rPr>
          <w:rFonts w:ascii="Arial" w:hAnsi="Arial" w:cs="Arial"/>
          <w:bCs/>
          <w:kern w:val="28"/>
        </w:rPr>
        <w:t>si registra</w:t>
      </w:r>
      <w:r>
        <w:rPr>
          <w:rFonts w:ascii="Arial" w:hAnsi="Arial" w:cs="Arial"/>
          <w:bCs/>
          <w:kern w:val="28"/>
        </w:rPr>
        <w:t xml:space="preserve"> infine</w:t>
      </w:r>
      <w:r w:rsidR="00185E46" w:rsidRPr="00185E46">
        <w:rPr>
          <w:rFonts w:ascii="Arial" w:hAnsi="Arial" w:cs="Arial"/>
          <w:bCs/>
          <w:kern w:val="28"/>
        </w:rPr>
        <w:t xml:space="preserve"> una risalita (</w:t>
      </w:r>
      <w:r>
        <w:rPr>
          <w:rFonts w:ascii="Arial" w:hAnsi="Arial" w:cs="Arial"/>
          <w:bCs/>
          <w:kern w:val="28"/>
        </w:rPr>
        <w:t>al</w:t>
      </w:r>
      <w:r w:rsidR="00185E46" w:rsidRPr="00185E46">
        <w:rPr>
          <w:rFonts w:ascii="Arial" w:hAnsi="Arial" w:cs="Arial"/>
          <w:bCs/>
          <w:kern w:val="28"/>
        </w:rPr>
        <w:t xml:space="preserve"> 15%</w:t>
      </w:r>
      <w:r>
        <w:rPr>
          <w:rFonts w:ascii="Arial" w:hAnsi="Arial" w:cs="Arial"/>
          <w:bCs/>
          <w:kern w:val="28"/>
        </w:rPr>
        <w:t xml:space="preserve"> circa</w:t>
      </w:r>
      <w:r w:rsidR="00185E46" w:rsidRPr="00185E46">
        <w:rPr>
          <w:rFonts w:ascii="Arial" w:hAnsi="Arial" w:cs="Arial"/>
          <w:bCs/>
          <w:kern w:val="28"/>
        </w:rPr>
        <w:t xml:space="preserve">). Generalmente l’incidenza delle agevolazioni è più elevata per le trasformazioni, con il massimo raggiunto nel 2015 </w:t>
      </w:r>
      <w:r w:rsidR="00EA6915">
        <w:rPr>
          <w:rFonts w:ascii="Arial" w:hAnsi="Arial" w:cs="Arial"/>
          <w:bCs/>
          <w:kern w:val="28"/>
        </w:rPr>
        <w:t xml:space="preserve">(agevolate il </w:t>
      </w:r>
      <w:r w:rsidR="00185E46" w:rsidRPr="00185E46">
        <w:rPr>
          <w:rFonts w:ascii="Arial" w:hAnsi="Arial" w:cs="Arial"/>
          <w:bCs/>
          <w:kern w:val="28"/>
        </w:rPr>
        <w:t>76%</w:t>
      </w:r>
      <w:r w:rsidR="00EA6915">
        <w:rPr>
          <w:rFonts w:ascii="Arial" w:hAnsi="Arial" w:cs="Arial"/>
          <w:bCs/>
          <w:kern w:val="28"/>
        </w:rPr>
        <w:t xml:space="preserve"> del totale)</w:t>
      </w:r>
      <w:r w:rsidR="00185E46" w:rsidRPr="00185E46">
        <w:rPr>
          <w:rFonts w:ascii="Arial" w:hAnsi="Arial" w:cs="Arial"/>
          <w:bCs/>
          <w:kern w:val="28"/>
        </w:rPr>
        <w:t xml:space="preserve">. </w:t>
      </w:r>
    </w:p>
    <w:p w:rsidR="00185E46" w:rsidRPr="00185E46" w:rsidRDefault="00185E46" w:rsidP="00185E46">
      <w:pPr>
        <w:pStyle w:val="Testonormale"/>
        <w:numPr>
          <w:ilvl w:val="0"/>
          <w:numId w:val="1"/>
        </w:numPr>
        <w:spacing w:after="120"/>
        <w:ind w:left="284" w:hanging="284"/>
        <w:jc w:val="both"/>
        <w:rPr>
          <w:rFonts w:ascii="Arial" w:hAnsi="Arial" w:cs="Arial"/>
          <w:bCs/>
          <w:kern w:val="28"/>
        </w:rPr>
      </w:pPr>
      <w:r w:rsidRPr="00185E46">
        <w:rPr>
          <w:rFonts w:ascii="Arial" w:hAnsi="Arial" w:cs="Arial"/>
          <w:bCs/>
          <w:kern w:val="28"/>
        </w:rPr>
        <w:t>In assoluto l’esonero triennale varato per il 2015 risulta il programma che ha avuto l’impatto più rilevante</w:t>
      </w:r>
      <w:r w:rsidR="00B4591B">
        <w:rPr>
          <w:rFonts w:ascii="Arial" w:hAnsi="Arial" w:cs="Arial"/>
          <w:bCs/>
          <w:kern w:val="28"/>
        </w:rPr>
        <w:t>. In questo</w:t>
      </w:r>
      <w:r w:rsidR="00C9188F">
        <w:rPr>
          <w:rFonts w:ascii="Arial" w:hAnsi="Arial" w:cs="Arial"/>
          <w:bCs/>
          <w:kern w:val="28"/>
        </w:rPr>
        <w:t xml:space="preserve"> anno si è avuto un forte aumento sia delle assunzioni che delle trasformazioni di contratti di lavoro a tempo indeterminato</w:t>
      </w:r>
      <w:r w:rsidRPr="00185E46">
        <w:rPr>
          <w:rFonts w:ascii="Arial" w:hAnsi="Arial" w:cs="Arial"/>
          <w:bCs/>
          <w:kern w:val="28"/>
        </w:rPr>
        <w:t>.</w:t>
      </w:r>
    </w:p>
    <w:p w:rsidR="00185E46" w:rsidRDefault="00185E46" w:rsidP="00185E46">
      <w:pPr>
        <w:pStyle w:val="Testonormale"/>
        <w:numPr>
          <w:ilvl w:val="0"/>
          <w:numId w:val="1"/>
        </w:numPr>
        <w:spacing w:after="120"/>
        <w:ind w:left="284" w:hanging="284"/>
        <w:jc w:val="both"/>
        <w:rPr>
          <w:rFonts w:ascii="Arial" w:hAnsi="Arial" w:cs="Arial"/>
          <w:bCs/>
          <w:kern w:val="28"/>
        </w:rPr>
      </w:pPr>
      <w:r w:rsidRPr="00185E46">
        <w:rPr>
          <w:rFonts w:ascii="Arial" w:hAnsi="Arial" w:cs="Arial"/>
          <w:bCs/>
          <w:kern w:val="28"/>
        </w:rPr>
        <w:t xml:space="preserve">Se l’esonero triennale del 2015 e quello biennale del 2016 hanno mobilitato risorse misurabili in miliardi di euro a favore delle imprese, il Bonus “Giovannini” si è attestato a consuntivo al di sotto dei 100 milioni di euro e “Garanzia Giovani”, fino alla metà del 2018, a circa 300 milioni. </w:t>
      </w:r>
    </w:p>
    <w:p w:rsidR="00286904" w:rsidRDefault="00185E46" w:rsidP="00185E46">
      <w:pPr>
        <w:pStyle w:val="Testonormale"/>
        <w:numPr>
          <w:ilvl w:val="0"/>
          <w:numId w:val="1"/>
        </w:numPr>
        <w:spacing w:after="120"/>
        <w:ind w:left="284" w:hanging="284"/>
        <w:jc w:val="both"/>
        <w:rPr>
          <w:rFonts w:ascii="Arial" w:hAnsi="Arial" w:cs="Arial"/>
          <w:bCs/>
          <w:kern w:val="28"/>
        </w:rPr>
      </w:pPr>
      <w:r w:rsidRPr="00185E46">
        <w:rPr>
          <w:rFonts w:ascii="Arial" w:hAnsi="Arial" w:cs="Arial"/>
          <w:bCs/>
          <w:kern w:val="28"/>
        </w:rPr>
        <w:t xml:space="preserve">Nel periodo 2015-2017 oltre un terzo delle aziende con dipendenti a tempo indeterminato risulta interessato da almeno un rapporto di lavoro agevolato. Le agevolazioni considerate hanno corrisposto a una riduzione media </w:t>
      </w:r>
      <w:r w:rsidR="00286904">
        <w:rPr>
          <w:rFonts w:ascii="Arial" w:hAnsi="Arial" w:cs="Arial"/>
          <w:bCs/>
          <w:kern w:val="28"/>
        </w:rPr>
        <w:t>annua attorno al</w:t>
      </w:r>
      <w:r w:rsidRPr="00185E46">
        <w:rPr>
          <w:rFonts w:ascii="Arial" w:hAnsi="Arial" w:cs="Arial"/>
          <w:bCs/>
          <w:kern w:val="28"/>
        </w:rPr>
        <w:t xml:space="preserve"> 5% dei contributi totali che le imprese avrebbero dovuto versare</w:t>
      </w:r>
      <w:r w:rsidR="00286904">
        <w:rPr>
          <w:rFonts w:ascii="Arial" w:hAnsi="Arial" w:cs="Arial"/>
          <w:bCs/>
          <w:kern w:val="28"/>
        </w:rPr>
        <w:t xml:space="preserve"> (7% considerando solo le aziende incentivate).</w:t>
      </w:r>
    </w:p>
    <w:p w:rsidR="00185E46" w:rsidRPr="00185E46" w:rsidRDefault="00185E46" w:rsidP="00185E46">
      <w:pPr>
        <w:pStyle w:val="Testonormale"/>
        <w:numPr>
          <w:ilvl w:val="0"/>
          <w:numId w:val="1"/>
        </w:numPr>
        <w:spacing w:after="120"/>
        <w:ind w:left="284" w:hanging="284"/>
        <w:jc w:val="both"/>
        <w:rPr>
          <w:rFonts w:ascii="Arial" w:hAnsi="Arial" w:cs="Arial"/>
          <w:bCs/>
          <w:kern w:val="28"/>
        </w:rPr>
      </w:pPr>
      <w:r w:rsidRPr="00185E46">
        <w:rPr>
          <w:rFonts w:ascii="Arial" w:hAnsi="Arial" w:cs="Arial"/>
          <w:bCs/>
          <w:kern w:val="28"/>
        </w:rPr>
        <w:t xml:space="preserve"> </w:t>
      </w:r>
      <w:r w:rsidR="00286904">
        <w:rPr>
          <w:rFonts w:ascii="Arial" w:hAnsi="Arial" w:cs="Arial"/>
          <w:bCs/>
          <w:kern w:val="28"/>
        </w:rPr>
        <w:t>L’</w:t>
      </w:r>
      <w:r w:rsidRPr="00185E46">
        <w:rPr>
          <w:rFonts w:ascii="Arial" w:hAnsi="Arial" w:cs="Arial"/>
          <w:bCs/>
          <w:kern w:val="28"/>
        </w:rPr>
        <w:t xml:space="preserve">importo medio su base annua per ciascun dipendente incentivato </w:t>
      </w:r>
      <w:r w:rsidR="00286904">
        <w:rPr>
          <w:rFonts w:ascii="Arial" w:hAnsi="Arial" w:cs="Arial"/>
          <w:bCs/>
          <w:kern w:val="28"/>
        </w:rPr>
        <w:t xml:space="preserve">risulta </w:t>
      </w:r>
      <w:r w:rsidRPr="00185E46">
        <w:rPr>
          <w:rFonts w:ascii="Arial" w:hAnsi="Arial" w:cs="Arial"/>
          <w:bCs/>
          <w:kern w:val="28"/>
        </w:rPr>
        <w:t xml:space="preserve">intorno ai 4 mila euro </w:t>
      </w:r>
      <w:r w:rsidR="00B4591B">
        <w:rPr>
          <w:rFonts w:ascii="Arial" w:hAnsi="Arial" w:cs="Arial"/>
          <w:bCs/>
          <w:kern w:val="28"/>
        </w:rPr>
        <w:t>m</w:t>
      </w:r>
      <w:r w:rsidR="00286904">
        <w:rPr>
          <w:rFonts w:ascii="Arial" w:hAnsi="Arial" w:cs="Arial"/>
          <w:bCs/>
          <w:kern w:val="28"/>
        </w:rPr>
        <w:t>e</w:t>
      </w:r>
      <w:r w:rsidR="00B4591B">
        <w:rPr>
          <w:rFonts w:ascii="Arial" w:hAnsi="Arial" w:cs="Arial"/>
          <w:bCs/>
          <w:kern w:val="28"/>
        </w:rPr>
        <w:t>ntre</w:t>
      </w:r>
      <w:r w:rsidR="00286904" w:rsidRPr="00185E46">
        <w:rPr>
          <w:rFonts w:ascii="Arial" w:hAnsi="Arial" w:cs="Arial"/>
          <w:bCs/>
          <w:kern w:val="28"/>
        </w:rPr>
        <w:t xml:space="preserve"> </w:t>
      </w:r>
      <w:r w:rsidRPr="00185E46">
        <w:rPr>
          <w:rFonts w:ascii="Arial" w:hAnsi="Arial" w:cs="Arial"/>
          <w:bCs/>
          <w:kern w:val="28"/>
        </w:rPr>
        <w:t>l’incidenza sul monte contributivo medio per dipendente delle aziende incentivate è di circa il 40%.</w:t>
      </w:r>
    </w:p>
    <w:p w:rsidR="00185E46" w:rsidRPr="00185E46" w:rsidRDefault="00185E46" w:rsidP="00185E46">
      <w:pPr>
        <w:pStyle w:val="Testonormale"/>
        <w:numPr>
          <w:ilvl w:val="0"/>
          <w:numId w:val="1"/>
        </w:numPr>
        <w:spacing w:after="120"/>
        <w:ind w:left="284" w:hanging="284"/>
        <w:jc w:val="both"/>
        <w:rPr>
          <w:rFonts w:ascii="Arial" w:hAnsi="Arial" w:cs="Arial"/>
          <w:bCs/>
          <w:kern w:val="28"/>
        </w:rPr>
      </w:pPr>
      <w:r w:rsidRPr="00185E46">
        <w:rPr>
          <w:rFonts w:ascii="Arial" w:hAnsi="Arial" w:cs="Arial"/>
          <w:bCs/>
          <w:kern w:val="28"/>
        </w:rPr>
        <w:t>A livello territoriale emerge la sovra-concentrazione</w:t>
      </w:r>
      <w:r w:rsidR="00C9188F">
        <w:rPr>
          <w:rFonts w:ascii="Arial" w:hAnsi="Arial" w:cs="Arial"/>
          <w:bCs/>
          <w:kern w:val="28"/>
        </w:rPr>
        <w:t xml:space="preserve"> </w:t>
      </w:r>
      <w:r w:rsidRPr="00185E46">
        <w:rPr>
          <w:rFonts w:ascii="Arial" w:hAnsi="Arial" w:cs="Arial"/>
          <w:bCs/>
          <w:kern w:val="28"/>
        </w:rPr>
        <w:t xml:space="preserve">delle agevolazioni </w:t>
      </w:r>
      <w:r w:rsidR="00C9188F">
        <w:rPr>
          <w:rFonts w:ascii="Arial" w:hAnsi="Arial" w:cs="Arial"/>
          <w:bCs/>
          <w:kern w:val="28"/>
        </w:rPr>
        <w:t>nel</w:t>
      </w:r>
      <w:r w:rsidRPr="00185E46">
        <w:rPr>
          <w:rFonts w:ascii="Arial" w:hAnsi="Arial" w:cs="Arial"/>
          <w:bCs/>
          <w:kern w:val="28"/>
        </w:rPr>
        <w:t xml:space="preserve"> Mezzogiorno</w:t>
      </w:r>
      <w:r w:rsidR="00B4591B">
        <w:rPr>
          <w:rFonts w:ascii="Arial" w:hAnsi="Arial" w:cs="Arial"/>
          <w:bCs/>
          <w:kern w:val="28"/>
        </w:rPr>
        <w:t>,</w:t>
      </w:r>
      <w:r w:rsidRPr="00185E46">
        <w:rPr>
          <w:rFonts w:ascii="Arial" w:hAnsi="Arial" w:cs="Arial"/>
          <w:bCs/>
          <w:kern w:val="28"/>
        </w:rPr>
        <w:t xml:space="preserve"> </w:t>
      </w:r>
      <w:r w:rsidR="00C9188F">
        <w:rPr>
          <w:rFonts w:ascii="Arial" w:hAnsi="Arial" w:cs="Arial"/>
          <w:bCs/>
          <w:kern w:val="28"/>
        </w:rPr>
        <w:t xml:space="preserve">che </w:t>
      </w:r>
      <w:r w:rsidR="00720E15">
        <w:rPr>
          <w:rFonts w:ascii="Arial" w:hAnsi="Arial" w:cs="Arial"/>
          <w:bCs/>
          <w:kern w:val="28"/>
        </w:rPr>
        <w:t>pesa</w:t>
      </w:r>
      <w:r w:rsidRPr="00185E46">
        <w:rPr>
          <w:rFonts w:ascii="Arial" w:hAnsi="Arial" w:cs="Arial"/>
          <w:bCs/>
          <w:kern w:val="28"/>
        </w:rPr>
        <w:t xml:space="preserve"> </w:t>
      </w:r>
      <w:r w:rsidR="00286904">
        <w:rPr>
          <w:rFonts w:ascii="Arial" w:hAnsi="Arial" w:cs="Arial"/>
          <w:bCs/>
          <w:kern w:val="28"/>
        </w:rPr>
        <w:t xml:space="preserve">per </w:t>
      </w:r>
      <w:r w:rsidRPr="00185E46">
        <w:rPr>
          <w:rFonts w:ascii="Arial" w:hAnsi="Arial" w:cs="Arial"/>
          <w:bCs/>
          <w:kern w:val="28"/>
        </w:rPr>
        <w:t xml:space="preserve">il 25% </w:t>
      </w:r>
      <w:r w:rsidR="00720E15">
        <w:rPr>
          <w:rFonts w:ascii="Arial" w:hAnsi="Arial" w:cs="Arial"/>
          <w:bCs/>
          <w:kern w:val="28"/>
        </w:rPr>
        <w:t xml:space="preserve">sul totale </w:t>
      </w:r>
      <w:r w:rsidRPr="00185E46">
        <w:rPr>
          <w:rFonts w:ascii="Arial" w:hAnsi="Arial" w:cs="Arial"/>
          <w:bCs/>
          <w:kern w:val="28"/>
        </w:rPr>
        <w:t>dell’importo delle agevolazioni</w:t>
      </w:r>
      <w:r w:rsidR="009D4C21">
        <w:rPr>
          <w:rFonts w:ascii="Arial" w:hAnsi="Arial" w:cs="Arial"/>
          <w:bCs/>
          <w:kern w:val="28"/>
        </w:rPr>
        <w:t>,</w:t>
      </w:r>
      <w:r w:rsidRPr="00185E46">
        <w:rPr>
          <w:rFonts w:ascii="Arial" w:hAnsi="Arial" w:cs="Arial"/>
          <w:bCs/>
          <w:kern w:val="28"/>
        </w:rPr>
        <w:t xml:space="preserve"> </w:t>
      </w:r>
      <w:r w:rsidR="00286904">
        <w:rPr>
          <w:rFonts w:ascii="Arial" w:hAnsi="Arial" w:cs="Arial"/>
          <w:bCs/>
          <w:kern w:val="28"/>
        </w:rPr>
        <w:t>per il</w:t>
      </w:r>
      <w:r w:rsidR="00286904" w:rsidDel="00286904">
        <w:rPr>
          <w:rFonts w:ascii="Arial" w:hAnsi="Arial" w:cs="Arial"/>
          <w:bCs/>
          <w:kern w:val="28"/>
        </w:rPr>
        <w:t xml:space="preserve"> </w:t>
      </w:r>
      <w:r w:rsidRPr="00185E46">
        <w:rPr>
          <w:rFonts w:ascii="Arial" w:hAnsi="Arial" w:cs="Arial"/>
          <w:bCs/>
          <w:kern w:val="28"/>
        </w:rPr>
        <w:t xml:space="preserve">19% sull’occupazione dipendente totale. Tra i settori di attività economica, una specializzazione relativa nel ricorso alle agevolazioni è riscontrabile soprattutto per le costruzioni </w:t>
      </w:r>
      <w:r w:rsidR="00C9188F">
        <w:rPr>
          <w:rFonts w:ascii="Arial" w:hAnsi="Arial" w:cs="Arial"/>
          <w:bCs/>
          <w:kern w:val="28"/>
        </w:rPr>
        <w:t>e</w:t>
      </w:r>
      <w:r w:rsidRPr="00185E46">
        <w:rPr>
          <w:rFonts w:ascii="Arial" w:hAnsi="Arial" w:cs="Arial"/>
          <w:bCs/>
          <w:kern w:val="28"/>
        </w:rPr>
        <w:t xml:space="preserve"> per il commercio</w:t>
      </w:r>
      <w:r w:rsidR="00C9188F">
        <w:rPr>
          <w:rFonts w:ascii="Arial" w:hAnsi="Arial" w:cs="Arial"/>
          <w:bCs/>
          <w:kern w:val="28"/>
        </w:rPr>
        <w:t>.</w:t>
      </w:r>
      <w:r w:rsidRPr="00185E46">
        <w:rPr>
          <w:rFonts w:ascii="Arial" w:hAnsi="Arial" w:cs="Arial"/>
          <w:bCs/>
          <w:kern w:val="28"/>
        </w:rPr>
        <w:t xml:space="preserve"> </w:t>
      </w:r>
    </w:p>
    <w:p w:rsidR="00A86EBA" w:rsidRDefault="00185E46" w:rsidP="00A86EBA">
      <w:pPr>
        <w:pStyle w:val="Testonormale"/>
        <w:numPr>
          <w:ilvl w:val="0"/>
          <w:numId w:val="1"/>
        </w:numPr>
        <w:spacing w:after="240"/>
        <w:ind w:left="284" w:hanging="284"/>
        <w:jc w:val="both"/>
        <w:rPr>
          <w:rFonts w:ascii="Arial" w:hAnsi="Arial" w:cs="Arial"/>
          <w:bCs/>
          <w:kern w:val="28"/>
        </w:rPr>
      </w:pPr>
      <w:r w:rsidRPr="00185E46">
        <w:rPr>
          <w:rFonts w:ascii="Arial" w:hAnsi="Arial" w:cs="Arial"/>
          <w:bCs/>
          <w:kern w:val="28"/>
        </w:rPr>
        <w:t xml:space="preserve">Se la quota di aziende incentivate è più elevata tra le aziende maggiori (nel 2016 l’85% beneficiava di almeno un lavoratore incentivato), il ricorso alle agevolazioni è </w:t>
      </w:r>
      <w:r w:rsidR="00286904">
        <w:rPr>
          <w:rFonts w:ascii="Arial" w:hAnsi="Arial" w:cs="Arial"/>
          <w:bCs/>
          <w:kern w:val="28"/>
        </w:rPr>
        <w:t>complessivamente più significativo</w:t>
      </w:r>
      <w:r w:rsidR="00286904" w:rsidRPr="00185E46" w:rsidDel="00286904">
        <w:rPr>
          <w:rFonts w:ascii="Arial" w:hAnsi="Arial" w:cs="Arial"/>
          <w:bCs/>
          <w:kern w:val="28"/>
        </w:rPr>
        <w:t xml:space="preserve"> </w:t>
      </w:r>
      <w:r w:rsidRPr="00185E46">
        <w:rPr>
          <w:rFonts w:ascii="Arial" w:hAnsi="Arial" w:cs="Arial"/>
          <w:bCs/>
          <w:kern w:val="28"/>
        </w:rPr>
        <w:t>nelle piccole imprese</w:t>
      </w:r>
      <w:r w:rsidR="00B4591B">
        <w:rPr>
          <w:rFonts w:ascii="Arial" w:hAnsi="Arial" w:cs="Arial"/>
          <w:bCs/>
          <w:kern w:val="28"/>
        </w:rPr>
        <w:t>.</w:t>
      </w:r>
      <w:r w:rsidRPr="00185E46">
        <w:rPr>
          <w:rFonts w:ascii="Arial" w:hAnsi="Arial" w:cs="Arial"/>
          <w:bCs/>
          <w:kern w:val="28"/>
        </w:rPr>
        <w:t xml:space="preserve"> </w:t>
      </w:r>
      <w:r w:rsidR="00B4591B">
        <w:rPr>
          <w:rFonts w:ascii="Arial" w:hAnsi="Arial" w:cs="Arial"/>
          <w:bCs/>
          <w:kern w:val="28"/>
        </w:rPr>
        <w:t>Q</w:t>
      </w:r>
      <w:r w:rsidRPr="00185E46">
        <w:rPr>
          <w:rFonts w:ascii="Arial" w:hAnsi="Arial" w:cs="Arial"/>
          <w:bCs/>
          <w:kern w:val="28"/>
        </w:rPr>
        <w:t xml:space="preserve">uelle sotto i dieci dipendenti assorbono il 40% delle agevolazioni complessive </w:t>
      </w:r>
      <w:r w:rsidR="00286904">
        <w:rPr>
          <w:rFonts w:ascii="Arial" w:hAnsi="Arial" w:cs="Arial"/>
          <w:bCs/>
          <w:kern w:val="28"/>
        </w:rPr>
        <w:t xml:space="preserve">mentre </w:t>
      </w:r>
      <w:r w:rsidR="00B4591B">
        <w:rPr>
          <w:rFonts w:ascii="Arial" w:hAnsi="Arial" w:cs="Arial"/>
          <w:bCs/>
          <w:kern w:val="28"/>
        </w:rPr>
        <w:t>l’incidenza</w:t>
      </w:r>
      <w:r w:rsidRPr="00185E46">
        <w:rPr>
          <w:rFonts w:ascii="Arial" w:hAnsi="Arial" w:cs="Arial"/>
          <w:bCs/>
          <w:kern w:val="28"/>
        </w:rPr>
        <w:t xml:space="preserve"> sul</w:t>
      </w:r>
      <w:r w:rsidR="00286904">
        <w:rPr>
          <w:rFonts w:ascii="Arial" w:hAnsi="Arial" w:cs="Arial"/>
          <w:bCs/>
          <w:kern w:val="28"/>
        </w:rPr>
        <w:t>l’occupazione</w:t>
      </w:r>
      <w:r w:rsidRPr="00185E46">
        <w:rPr>
          <w:rFonts w:ascii="Arial" w:hAnsi="Arial" w:cs="Arial"/>
          <w:bCs/>
          <w:kern w:val="28"/>
        </w:rPr>
        <w:t xml:space="preserve"> totale</w:t>
      </w:r>
      <w:r w:rsidR="00B4591B">
        <w:rPr>
          <w:rFonts w:ascii="Arial" w:hAnsi="Arial" w:cs="Arial"/>
          <w:bCs/>
          <w:kern w:val="28"/>
        </w:rPr>
        <w:t xml:space="preserve"> è del </w:t>
      </w:r>
      <w:r w:rsidR="00B4591B" w:rsidRPr="00185E46">
        <w:rPr>
          <w:rFonts w:ascii="Arial" w:hAnsi="Arial" w:cs="Arial"/>
          <w:bCs/>
          <w:kern w:val="28"/>
        </w:rPr>
        <w:t>28%</w:t>
      </w:r>
      <w:r w:rsidR="00286904">
        <w:rPr>
          <w:rFonts w:ascii="Arial" w:hAnsi="Arial" w:cs="Arial"/>
          <w:bCs/>
          <w:kern w:val="28"/>
        </w:rPr>
        <w:t>;</w:t>
      </w:r>
      <w:r w:rsidR="00286904" w:rsidRPr="00185E46">
        <w:rPr>
          <w:rFonts w:ascii="Arial" w:hAnsi="Arial" w:cs="Arial"/>
          <w:bCs/>
          <w:kern w:val="28"/>
        </w:rPr>
        <w:t xml:space="preserve"> </w:t>
      </w:r>
      <w:r w:rsidRPr="00185E46">
        <w:rPr>
          <w:rFonts w:ascii="Arial" w:hAnsi="Arial" w:cs="Arial"/>
          <w:bCs/>
          <w:kern w:val="28"/>
        </w:rPr>
        <w:t xml:space="preserve">per le imprese con oltre 250 dipendenti questi valori sono rispettivamente il 14% e il 31%.  </w:t>
      </w:r>
    </w:p>
    <w:p w:rsidR="00A86EBA" w:rsidRPr="00A86EBA" w:rsidRDefault="00A86EBA" w:rsidP="00A86EBA">
      <w:pPr>
        <w:pStyle w:val="Testonormale"/>
        <w:spacing w:after="240"/>
        <w:ind w:left="284"/>
        <w:jc w:val="both"/>
        <w:rPr>
          <w:rFonts w:ascii="Arial" w:hAnsi="Arial" w:cs="Arial"/>
          <w:bCs/>
          <w:kern w:val="28"/>
        </w:rPr>
      </w:pPr>
    </w:p>
    <w:tbl>
      <w:tblPr>
        <w:tblStyle w:val="Grigliatabella"/>
        <w:tblW w:w="8207" w:type="dxa"/>
        <w:tblInd w:w="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6"/>
        <w:gridCol w:w="4051"/>
      </w:tblGrid>
      <w:tr w:rsidR="00AF7020" w:rsidTr="00F03C8C">
        <w:trPr>
          <w:trHeight w:val="275"/>
        </w:trPr>
        <w:tc>
          <w:tcPr>
            <w:tcW w:w="4156" w:type="dxa"/>
          </w:tcPr>
          <w:p w:rsidR="00AF7020" w:rsidRPr="00DD6D02" w:rsidRDefault="00AF7020" w:rsidP="00647E25">
            <w:pPr>
              <w:pStyle w:val="Testonormale"/>
              <w:spacing w:after="120"/>
              <w:jc w:val="both"/>
              <w:rPr>
                <w:rFonts w:ascii="Arial" w:hAnsi="Arial" w:cs="Arial"/>
                <w:bCs/>
                <w:kern w:val="28"/>
              </w:rPr>
            </w:pPr>
            <w:r w:rsidRPr="00A86EBA">
              <w:rPr>
                <w:rFonts w:ascii="Arial Narrow" w:hAnsi="Arial Narrow" w:cs="Arial"/>
                <w:b/>
                <w:bCs/>
                <w:kern w:val="28"/>
              </w:rPr>
              <w:t xml:space="preserve">Assunzioni e trasformazioni a tempo indeterminato agevolate. </w:t>
            </w:r>
            <w:r w:rsidR="00647E25" w:rsidRPr="00A86EBA">
              <w:rPr>
                <w:rFonts w:ascii="Arial Narrow" w:hAnsi="Arial Narrow" w:cs="Arial"/>
                <w:b/>
                <w:bCs/>
                <w:kern w:val="28"/>
              </w:rPr>
              <w:t>Anni 2014-2018*</w:t>
            </w:r>
            <w:r w:rsidRPr="00516302">
              <w:rPr>
                <w:rFonts w:ascii="Arial Narrow" w:hAnsi="Arial Narrow" w:cs="Arial"/>
                <w:b/>
                <w:bCs/>
                <w:color w:val="404040" w:themeColor="text1" w:themeTint="BF"/>
                <w:kern w:val="28"/>
              </w:rPr>
              <w:t xml:space="preserve"> </w:t>
            </w:r>
            <w:r w:rsidR="00A86EBA">
              <w:rPr>
                <w:rFonts w:ascii="Arial Narrow" w:hAnsi="Arial Narrow" w:cs="Arial"/>
                <w:b/>
                <w:bCs/>
                <w:color w:val="404040" w:themeColor="text1" w:themeTint="BF"/>
                <w:kern w:val="28"/>
              </w:rPr>
              <w:br/>
            </w:r>
            <w:r w:rsidRPr="00A86EBA">
              <w:rPr>
                <w:rFonts w:ascii="Arial Narrow" w:hAnsi="Arial Narrow" w:cs="Arial"/>
                <w:bCs/>
                <w:color w:val="404040" w:themeColor="text1" w:themeTint="BF"/>
                <w:kern w:val="28"/>
                <w:sz w:val="19"/>
                <w:szCs w:val="19"/>
              </w:rPr>
              <w:t>(valori percentuali)</w:t>
            </w:r>
          </w:p>
        </w:tc>
        <w:tc>
          <w:tcPr>
            <w:tcW w:w="4051" w:type="dxa"/>
          </w:tcPr>
          <w:p w:rsidR="00AF7020" w:rsidRPr="00DD6D02" w:rsidRDefault="00425E50" w:rsidP="0066024E">
            <w:pPr>
              <w:pStyle w:val="Testonormale"/>
              <w:spacing w:after="120"/>
              <w:jc w:val="both"/>
              <w:rPr>
                <w:rFonts w:ascii="Arial" w:hAnsi="Arial" w:cs="Arial"/>
                <w:bCs/>
                <w:kern w:val="28"/>
              </w:rPr>
            </w:pPr>
            <w:r w:rsidRPr="00A86EBA">
              <w:rPr>
                <w:rFonts w:ascii="Arial Narrow" w:hAnsi="Arial Narrow" w:cs="Arial"/>
                <w:b/>
                <w:bCs/>
                <w:kern w:val="28"/>
              </w:rPr>
              <w:t>Impatto dei cinque programmi di incentivo per classe di addetti. Anno 2016</w:t>
            </w:r>
            <w:r w:rsidRPr="00516302">
              <w:rPr>
                <w:rFonts w:ascii="Arial Narrow" w:hAnsi="Arial Narrow" w:cs="Arial"/>
                <w:b/>
                <w:bCs/>
                <w:color w:val="404040" w:themeColor="text1" w:themeTint="BF"/>
                <w:kern w:val="28"/>
              </w:rPr>
              <w:t xml:space="preserve"> </w:t>
            </w:r>
            <w:r w:rsidR="00AF7020" w:rsidRPr="00A86EBA">
              <w:rPr>
                <w:rFonts w:ascii="Arial Narrow" w:hAnsi="Arial Narrow" w:cs="Arial"/>
                <w:bCs/>
                <w:color w:val="404040" w:themeColor="text1" w:themeTint="BF"/>
                <w:kern w:val="28"/>
                <w:sz w:val="19"/>
                <w:szCs w:val="19"/>
              </w:rPr>
              <w:t>(valori percentuali)</w:t>
            </w:r>
          </w:p>
        </w:tc>
      </w:tr>
      <w:tr w:rsidR="00AF7020" w:rsidTr="00AF7020">
        <w:tblPrEx>
          <w:tblCellMar>
            <w:left w:w="70" w:type="dxa"/>
            <w:right w:w="70" w:type="dxa"/>
          </w:tblCellMar>
        </w:tblPrEx>
        <w:trPr>
          <w:trHeight w:val="1698"/>
        </w:trPr>
        <w:tc>
          <w:tcPr>
            <w:tcW w:w="4156" w:type="dxa"/>
          </w:tcPr>
          <w:p w:rsidR="00AF7020" w:rsidRDefault="00AF7020" w:rsidP="00F03C8C">
            <w:pPr>
              <w:pStyle w:val="Testonormale"/>
              <w:spacing w:after="120"/>
              <w:jc w:val="both"/>
              <w:rPr>
                <w:rFonts w:ascii="Arial" w:hAnsi="Arial" w:cs="Arial"/>
                <w:bCs/>
                <w:kern w:val="28"/>
              </w:rPr>
            </w:pPr>
            <w:r>
              <w:rPr>
                <w:noProof/>
              </w:rPr>
              <w:drawing>
                <wp:inline distT="0" distB="0" distL="0" distR="0" wp14:anchorId="3AEC9CFC" wp14:editId="224F4258">
                  <wp:extent cx="2594759" cy="1983105"/>
                  <wp:effectExtent l="0" t="0" r="0" b="0"/>
                  <wp:docPr id="26" name="Grafico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4051" w:type="dxa"/>
          </w:tcPr>
          <w:p w:rsidR="00AF7020" w:rsidRDefault="00AF7020" w:rsidP="00F03C8C">
            <w:pPr>
              <w:pStyle w:val="Testonormale"/>
              <w:spacing w:after="120"/>
              <w:jc w:val="both"/>
              <w:rPr>
                <w:rFonts w:ascii="Arial" w:hAnsi="Arial" w:cs="Arial"/>
                <w:bCs/>
                <w:kern w:val="28"/>
              </w:rPr>
            </w:pPr>
            <w:r>
              <w:rPr>
                <w:noProof/>
              </w:rPr>
              <w:drawing>
                <wp:inline distT="0" distB="0" distL="0" distR="0" wp14:anchorId="55B0F8CB" wp14:editId="014560E3">
                  <wp:extent cx="2529007" cy="2000885"/>
                  <wp:effectExtent l="0" t="0" r="5080" b="0"/>
                  <wp:docPr id="27" name="Grafico 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</w:tbl>
    <w:p w:rsidR="00B4591B" w:rsidRPr="00A86EBA" w:rsidRDefault="00AF7020" w:rsidP="00CE1157">
      <w:pPr>
        <w:ind w:left="284"/>
        <w:rPr>
          <w:rFonts w:ascii="Arial Narrow" w:hAnsi="Arial Narrow" w:cs="Arial"/>
          <w:b/>
          <w:bCs/>
          <w:kern w:val="28"/>
          <w:sz w:val="15"/>
          <w:szCs w:val="15"/>
        </w:rPr>
      </w:pPr>
      <w:r w:rsidRPr="00A86EBA">
        <w:rPr>
          <w:rFonts w:ascii="Arial Narrow" w:hAnsi="Arial Narrow" w:cs="Arial"/>
          <w:bCs/>
          <w:kern w:val="28"/>
          <w:sz w:val="15"/>
          <w:szCs w:val="15"/>
        </w:rPr>
        <w:t>Fonte: Inps - Osservatorio sul Precariato</w:t>
      </w:r>
      <w:r w:rsidR="00B4591B" w:rsidRPr="00A86EBA">
        <w:rPr>
          <w:rFonts w:ascii="Arial Narrow" w:hAnsi="Arial Narrow" w:cs="Arial"/>
          <w:bCs/>
          <w:kern w:val="28"/>
          <w:sz w:val="15"/>
          <w:szCs w:val="15"/>
        </w:rPr>
        <w:t xml:space="preserve"> </w:t>
      </w:r>
      <w:r w:rsidRPr="00A86EBA">
        <w:rPr>
          <w:rFonts w:ascii="Arial Narrow" w:hAnsi="Arial Narrow" w:cs="Arial"/>
          <w:bCs/>
          <w:kern w:val="28"/>
          <w:sz w:val="15"/>
          <w:szCs w:val="15"/>
        </w:rPr>
        <w:t>* primi nove mesi.</w:t>
      </w:r>
      <w:r w:rsidR="00EC1F84" w:rsidRPr="00A86EBA">
        <w:rPr>
          <w:rFonts w:ascii="Arial Narrow" w:hAnsi="Arial Narrow" w:cs="Arial"/>
          <w:b/>
          <w:bCs/>
          <w:kern w:val="28"/>
          <w:sz w:val="15"/>
          <w:szCs w:val="15"/>
        </w:rPr>
        <w:br w:type="page"/>
      </w:r>
    </w:p>
    <w:p w:rsidR="00F928AC" w:rsidRDefault="00F928AC" w:rsidP="007C5438">
      <w:pPr>
        <w:rPr>
          <w:rFonts w:ascii="Arial" w:hAnsi="Arial" w:cs="Arial"/>
          <w:b/>
          <w:bCs/>
          <w:kern w:val="28"/>
          <w:sz w:val="22"/>
          <w:szCs w:val="22"/>
        </w:rPr>
      </w:pPr>
      <w:r w:rsidRPr="00837007">
        <w:rPr>
          <w:rFonts w:ascii="Arial" w:hAnsi="Arial" w:cs="Arial"/>
          <w:b/>
          <w:bCs/>
          <w:kern w:val="28"/>
          <w:sz w:val="22"/>
          <w:szCs w:val="22"/>
        </w:rPr>
        <w:lastRenderedPageBreak/>
        <w:t xml:space="preserve">Capitolo 5. </w:t>
      </w:r>
      <w:r w:rsidR="00374356" w:rsidRPr="00837007">
        <w:rPr>
          <w:rFonts w:ascii="Arial" w:hAnsi="Arial" w:cs="Arial"/>
          <w:b/>
          <w:bCs/>
          <w:kern w:val="28"/>
          <w:sz w:val="22"/>
          <w:szCs w:val="22"/>
        </w:rPr>
        <w:t>Analisi dei flussi dei lavoratori: percorsi e sviluppi lavorativi</w:t>
      </w:r>
    </w:p>
    <w:p w:rsidR="00404FC3" w:rsidRPr="00404FC3" w:rsidRDefault="00404FC3" w:rsidP="007C5438">
      <w:pPr>
        <w:rPr>
          <w:rFonts w:ascii="Arial" w:hAnsi="Arial" w:cs="Arial"/>
          <w:b/>
          <w:bCs/>
          <w:kern w:val="28"/>
          <w:sz w:val="22"/>
          <w:szCs w:val="22"/>
        </w:rPr>
      </w:pPr>
    </w:p>
    <w:p w:rsidR="00BC7BB2" w:rsidRDefault="00374356" w:rsidP="00BC7BB2">
      <w:pPr>
        <w:pStyle w:val="Testonormale"/>
        <w:numPr>
          <w:ilvl w:val="0"/>
          <w:numId w:val="1"/>
        </w:numPr>
        <w:spacing w:after="120"/>
        <w:ind w:left="284" w:hanging="284"/>
        <w:jc w:val="both"/>
        <w:rPr>
          <w:rFonts w:ascii="Arial" w:hAnsi="Arial" w:cs="Arial"/>
          <w:bCs/>
          <w:kern w:val="28"/>
        </w:rPr>
      </w:pPr>
      <w:r w:rsidRPr="00374356">
        <w:rPr>
          <w:rFonts w:ascii="Arial" w:hAnsi="Arial" w:cs="Arial"/>
          <w:bCs/>
          <w:kern w:val="28"/>
        </w:rPr>
        <w:t xml:space="preserve">Nel 2017 i lavoratori </w:t>
      </w:r>
      <w:r w:rsidR="00286904">
        <w:rPr>
          <w:rFonts w:ascii="Arial" w:hAnsi="Arial" w:cs="Arial"/>
          <w:bCs/>
          <w:kern w:val="28"/>
        </w:rPr>
        <w:t>interessati</w:t>
      </w:r>
      <w:r w:rsidR="00035D3A" w:rsidRPr="00374356">
        <w:rPr>
          <w:rFonts w:ascii="Arial" w:hAnsi="Arial" w:cs="Arial"/>
          <w:bCs/>
          <w:kern w:val="28"/>
        </w:rPr>
        <w:t xml:space="preserve"> </w:t>
      </w:r>
      <w:r w:rsidR="00286904">
        <w:rPr>
          <w:rFonts w:ascii="Arial" w:hAnsi="Arial" w:cs="Arial"/>
          <w:bCs/>
          <w:kern w:val="28"/>
        </w:rPr>
        <w:t>dal</w:t>
      </w:r>
      <w:r w:rsidR="00035D3A" w:rsidRPr="00374356">
        <w:rPr>
          <w:rFonts w:ascii="Arial" w:hAnsi="Arial" w:cs="Arial"/>
          <w:bCs/>
          <w:kern w:val="28"/>
        </w:rPr>
        <w:t xml:space="preserve">l’attivazione di almeno un rapporto di lavoro dipendente, parasubordinato o in somministrazione </w:t>
      </w:r>
      <w:r w:rsidRPr="00374356">
        <w:rPr>
          <w:rFonts w:ascii="Arial" w:hAnsi="Arial" w:cs="Arial"/>
          <w:bCs/>
          <w:kern w:val="28"/>
        </w:rPr>
        <w:t xml:space="preserve">sono 6,7 milioni, in aumento dell’11,2% dopo la diminuzione del 2016 (-8,3%) e la crescita del 2015 (+8,8%). </w:t>
      </w:r>
      <w:r w:rsidR="00035D3A" w:rsidRPr="00035D3A">
        <w:rPr>
          <w:rFonts w:ascii="Arial" w:hAnsi="Arial" w:cs="Arial"/>
          <w:bCs/>
          <w:kern w:val="28"/>
        </w:rPr>
        <w:t xml:space="preserve">Rispetto agli anni precedenti, aumenta la quota di contratti a tempo determinato (66,9%, +13,8% rispetto al 2016) e dell’apprendistato (4,8%, +13,1%) mentre diminuisce quella dei contratti a tempo indeterminato (18,6%, -7,0%). Nel complesso, il lavoro temporaneo </w:t>
      </w:r>
      <w:r w:rsidR="00286904">
        <w:rPr>
          <w:rFonts w:ascii="Arial" w:hAnsi="Arial" w:cs="Arial"/>
          <w:bCs/>
          <w:kern w:val="28"/>
        </w:rPr>
        <w:t>ha assorbito</w:t>
      </w:r>
      <w:r w:rsidR="00286904" w:rsidRPr="00035D3A">
        <w:rPr>
          <w:rFonts w:ascii="Arial" w:hAnsi="Arial" w:cs="Arial"/>
          <w:bCs/>
          <w:kern w:val="28"/>
        </w:rPr>
        <w:t xml:space="preserve"> </w:t>
      </w:r>
      <w:r w:rsidR="00035D3A" w:rsidRPr="00035D3A">
        <w:rPr>
          <w:rFonts w:ascii="Arial" w:hAnsi="Arial" w:cs="Arial"/>
          <w:bCs/>
          <w:kern w:val="28"/>
        </w:rPr>
        <w:t>la maggior parte delle</w:t>
      </w:r>
      <w:r w:rsidR="00DD6D02">
        <w:rPr>
          <w:rFonts w:ascii="Arial" w:hAnsi="Arial" w:cs="Arial"/>
          <w:bCs/>
          <w:kern w:val="28"/>
        </w:rPr>
        <w:t xml:space="preserve"> prime</w:t>
      </w:r>
      <w:r w:rsidR="00035D3A" w:rsidRPr="00035D3A">
        <w:rPr>
          <w:rFonts w:ascii="Arial" w:hAnsi="Arial" w:cs="Arial"/>
          <w:bCs/>
          <w:kern w:val="28"/>
        </w:rPr>
        <w:t xml:space="preserve"> </w:t>
      </w:r>
      <w:r w:rsidR="00516302">
        <w:rPr>
          <w:rFonts w:ascii="Arial" w:hAnsi="Arial" w:cs="Arial"/>
          <w:bCs/>
          <w:kern w:val="28"/>
        </w:rPr>
        <w:t>attivazioni</w:t>
      </w:r>
      <w:r w:rsidR="00516302" w:rsidRPr="00035D3A">
        <w:rPr>
          <w:rFonts w:ascii="Arial" w:hAnsi="Arial" w:cs="Arial"/>
          <w:bCs/>
          <w:kern w:val="28"/>
        </w:rPr>
        <w:t xml:space="preserve"> </w:t>
      </w:r>
      <w:r w:rsidR="00035D3A" w:rsidRPr="00035D3A">
        <w:rPr>
          <w:rFonts w:ascii="Arial" w:hAnsi="Arial" w:cs="Arial"/>
          <w:bCs/>
          <w:kern w:val="28"/>
        </w:rPr>
        <w:t xml:space="preserve">(76,6% nel 2017) mentre il tempo indeterminato </w:t>
      </w:r>
      <w:r w:rsidR="00286904">
        <w:rPr>
          <w:rFonts w:ascii="Arial" w:hAnsi="Arial" w:cs="Arial"/>
          <w:bCs/>
          <w:kern w:val="28"/>
        </w:rPr>
        <w:t>ha raggiunto</w:t>
      </w:r>
      <w:r w:rsidR="00286904" w:rsidRPr="00035D3A">
        <w:rPr>
          <w:rFonts w:ascii="Arial" w:hAnsi="Arial" w:cs="Arial"/>
          <w:bCs/>
          <w:kern w:val="28"/>
        </w:rPr>
        <w:t xml:space="preserve"> </w:t>
      </w:r>
      <w:r w:rsidR="00035D3A" w:rsidRPr="00035D3A">
        <w:rPr>
          <w:rFonts w:ascii="Arial" w:hAnsi="Arial" w:cs="Arial"/>
          <w:bCs/>
          <w:kern w:val="28"/>
        </w:rPr>
        <w:t>il valore massimo nel 2015 (33,4%), anche a seguito dei provvedimenti sulla decontribuzione</w:t>
      </w:r>
      <w:r w:rsidR="00286904">
        <w:rPr>
          <w:rFonts w:ascii="Arial" w:hAnsi="Arial" w:cs="Arial"/>
          <w:bCs/>
          <w:kern w:val="28"/>
        </w:rPr>
        <w:t>.</w:t>
      </w:r>
    </w:p>
    <w:p w:rsidR="00374356" w:rsidRPr="00BC7BB2" w:rsidRDefault="00374356" w:rsidP="00BC7BB2">
      <w:pPr>
        <w:pStyle w:val="Testonormale"/>
        <w:numPr>
          <w:ilvl w:val="0"/>
          <w:numId w:val="1"/>
        </w:numPr>
        <w:spacing w:after="120"/>
        <w:ind w:left="284" w:hanging="284"/>
        <w:jc w:val="both"/>
        <w:rPr>
          <w:rFonts w:ascii="Arial" w:hAnsi="Arial" w:cs="Arial"/>
          <w:bCs/>
          <w:kern w:val="28"/>
        </w:rPr>
      </w:pPr>
      <w:r w:rsidRPr="00BC7BB2">
        <w:rPr>
          <w:rFonts w:ascii="Arial" w:hAnsi="Arial" w:cs="Arial"/>
          <w:bCs/>
          <w:kern w:val="28"/>
        </w:rPr>
        <w:t xml:space="preserve">L’analisi longitudinale, condotta prendendo come riferimento </w:t>
      </w:r>
      <w:r w:rsidR="00035D3A" w:rsidRPr="00BC7BB2">
        <w:rPr>
          <w:rFonts w:ascii="Arial" w:hAnsi="Arial" w:cs="Arial"/>
          <w:bCs/>
          <w:kern w:val="28"/>
        </w:rPr>
        <w:t>due coorti di individui seguite per 36 mesi dalla prima attivazione</w:t>
      </w:r>
      <w:r w:rsidRPr="00BC7BB2">
        <w:rPr>
          <w:rFonts w:ascii="Arial" w:hAnsi="Arial" w:cs="Arial"/>
          <w:bCs/>
          <w:kern w:val="28"/>
        </w:rPr>
        <w:t>, conferma gli effetti del</w:t>
      </w:r>
      <w:r w:rsidR="00857FDF">
        <w:rPr>
          <w:rFonts w:ascii="Arial" w:hAnsi="Arial" w:cs="Arial"/>
          <w:bCs/>
          <w:kern w:val="28"/>
        </w:rPr>
        <w:t xml:space="preserve">la ripresa </w:t>
      </w:r>
      <w:r w:rsidRPr="00BC7BB2">
        <w:rPr>
          <w:rFonts w:ascii="Arial" w:hAnsi="Arial" w:cs="Arial"/>
          <w:bCs/>
          <w:kern w:val="28"/>
        </w:rPr>
        <w:t>del ciclo economico</w:t>
      </w:r>
      <w:r w:rsidR="00EB1E1B">
        <w:rPr>
          <w:rFonts w:ascii="Arial" w:hAnsi="Arial" w:cs="Arial"/>
          <w:bCs/>
          <w:kern w:val="28"/>
        </w:rPr>
        <w:t>.</w:t>
      </w:r>
      <w:r w:rsidRPr="00BC7BB2">
        <w:rPr>
          <w:rFonts w:ascii="Arial" w:hAnsi="Arial" w:cs="Arial"/>
          <w:bCs/>
          <w:kern w:val="28"/>
        </w:rPr>
        <w:t xml:space="preserve"> </w:t>
      </w:r>
      <w:r w:rsidR="00EB1E1B">
        <w:rPr>
          <w:rFonts w:ascii="Arial" w:hAnsi="Arial" w:cs="Arial"/>
          <w:bCs/>
          <w:kern w:val="28"/>
        </w:rPr>
        <w:t>I</w:t>
      </w:r>
      <w:r w:rsidRPr="00BC7BB2">
        <w:rPr>
          <w:rFonts w:ascii="Arial" w:hAnsi="Arial" w:cs="Arial"/>
          <w:bCs/>
          <w:kern w:val="28"/>
        </w:rPr>
        <w:t xml:space="preserve">l 64,4% di quanti hanno avuto </w:t>
      </w:r>
      <w:r w:rsidR="00286904" w:rsidRPr="00BC7BB2">
        <w:rPr>
          <w:rFonts w:ascii="Arial" w:hAnsi="Arial" w:cs="Arial"/>
          <w:bCs/>
          <w:kern w:val="28"/>
        </w:rPr>
        <w:t>un</w:t>
      </w:r>
      <w:r w:rsidR="00286904">
        <w:rPr>
          <w:rFonts w:ascii="Arial" w:hAnsi="Arial" w:cs="Arial"/>
          <w:bCs/>
          <w:kern w:val="28"/>
        </w:rPr>
        <w:t>’</w:t>
      </w:r>
      <w:r w:rsidRPr="00BC7BB2">
        <w:rPr>
          <w:rFonts w:ascii="Arial" w:hAnsi="Arial" w:cs="Arial"/>
          <w:bCs/>
          <w:kern w:val="28"/>
        </w:rPr>
        <w:t xml:space="preserve">attivazione nel 2014 ha un rapporto di lavoro attivo (tasso di permanenza) a tre anni di distanza rispetto al 57,3% </w:t>
      </w:r>
      <w:r w:rsidR="00EB1E1B">
        <w:rPr>
          <w:rFonts w:ascii="Arial" w:hAnsi="Arial" w:cs="Arial"/>
          <w:bCs/>
          <w:kern w:val="28"/>
        </w:rPr>
        <w:t>del</w:t>
      </w:r>
      <w:r w:rsidR="00857FDF">
        <w:rPr>
          <w:rFonts w:ascii="Arial" w:hAnsi="Arial" w:cs="Arial"/>
          <w:bCs/>
          <w:kern w:val="28"/>
        </w:rPr>
        <w:t xml:space="preserve"> gruppo osservato dal</w:t>
      </w:r>
      <w:r w:rsidRPr="00BC7BB2">
        <w:rPr>
          <w:rFonts w:ascii="Arial" w:hAnsi="Arial" w:cs="Arial"/>
          <w:bCs/>
          <w:kern w:val="28"/>
        </w:rPr>
        <w:t xml:space="preserve"> 2010. In generale,</w:t>
      </w:r>
      <w:r w:rsidR="004F171E">
        <w:rPr>
          <w:rFonts w:ascii="Arial" w:hAnsi="Arial" w:cs="Arial"/>
          <w:bCs/>
          <w:kern w:val="28"/>
        </w:rPr>
        <w:t xml:space="preserve"> </w:t>
      </w:r>
      <w:r w:rsidR="004F171E" w:rsidRPr="00BC7BB2">
        <w:rPr>
          <w:rFonts w:ascii="Arial" w:hAnsi="Arial" w:cs="Arial"/>
          <w:bCs/>
          <w:kern w:val="28"/>
        </w:rPr>
        <w:t>nella coorte 2014</w:t>
      </w:r>
      <w:r w:rsidRPr="00BC7BB2">
        <w:rPr>
          <w:rFonts w:ascii="Arial" w:hAnsi="Arial" w:cs="Arial"/>
          <w:bCs/>
          <w:kern w:val="28"/>
        </w:rPr>
        <w:t xml:space="preserve"> la permanenza è s</w:t>
      </w:r>
      <w:r w:rsidR="00035D3A" w:rsidRPr="00BC7BB2">
        <w:rPr>
          <w:rFonts w:ascii="Arial" w:hAnsi="Arial" w:cs="Arial"/>
          <w:bCs/>
          <w:kern w:val="28"/>
        </w:rPr>
        <w:t xml:space="preserve">uperiore tra </w:t>
      </w:r>
      <w:r w:rsidR="005333F7">
        <w:rPr>
          <w:rFonts w:ascii="Arial" w:hAnsi="Arial" w:cs="Arial"/>
          <w:bCs/>
          <w:kern w:val="28"/>
        </w:rPr>
        <w:t>gli uomini</w:t>
      </w:r>
      <w:r w:rsidR="00883006">
        <w:rPr>
          <w:rFonts w:ascii="Arial" w:hAnsi="Arial" w:cs="Arial"/>
          <w:bCs/>
          <w:kern w:val="28"/>
        </w:rPr>
        <w:t>, contrariamente alla coorte 2010</w:t>
      </w:r>
      <w:r w:rsidR="00035D3A" w:rsidRPr="00BC7BB2">
        <w:rPr>
          <w:rFonts w:ascii="Arial" w:hAnsi="Arial" w:cs="Arial"/>
          <w:bCs/>
          <w:kern w:val="28"/>
        </w:rPr>
        <w:t xml:space="preserve">, </w:t>
      </w:r>
      <w:r w:rsidRPr="00BC7BB2">
        <w:rPr>
          <w:rFonts w:ascii="Arial" w:hAnsi="Arial" w:cs="Arial"/>
          <w:bCs/>
          <w:kern w:val="28"/>
        </w:rPr>
        <w:t xml:space="preserve">tra i lavoratori con età compresa tra 35 e </w:t>
      </w:r>
      <w:r w:rsidR="005333F7">
        <w:rPr>
          <w:rFonts w:ascii="Arial" w:hAnsi="Arial" w:cs="Arial"/>
          <w:bCs/>
          <w:kern w:val="28"/>
        </w:rPr>
        <w:t>4</w:t>
      </w:r>
      <w:r w:rsidR="005333F7" w:rsidRPr="00BC7BB2">
        <w:rPr>
          <w:rFonts w:ascii="Arial" w:hAnsi="Arial" w:cs="Arial"/>
          <w:bCs/>
          <w:kern w:val="28"/>
        </w:rPr>
        <w:t xml:space="preserve">4 </w:t>
      </w:r>
      <w:r w:rsidRPr="00BC7BB2">
        <w:rPr>
          <w:rFonts w:ascii="Arial" w:hAnsi="Arial" w:cs="Arial"/>
          <w:bCs/>
          <w:kern w:val="28"/>
        </w:rPr>
        <w:t xml:space="preserve">anni </w:t>
      </w:r>
      <w:r w:rsidR="00035D3A" w:rsidRPr="00BC7BB2">
        <w:rPr>
          <w:rFonts w:ascii="Arial" w:hAnsi="Arial" w:cs="Arial"/>
          <w:bCs/>
          <w:kern w:val="28"/>
        </w:rPr>
        <w:t>e nelle regioni del</w:t>
      </w:r>
      <w:r w:rsidRPr="00BC7BB2">
        <w:rPr>
          <w:rFonts w:ascii="Arial" w:hAnsi="Arial" w:cs="Arial"/>
          <w:bCs/>
          <w:kern w:val="28"/>
        </w:rPr>
        <w:t xml:space="preserve"> Nord-ovest </w:t>
      </w:r>
      <w:r w:rsidR="00EB1E1B">
        <w:rPr>
          <w:rFonts w:ascii="Arial" w:hAnsi="Arial" w:cs="Arial"/>
          <w:bCs/>
          <w:kern w:val="28"/>
        </w:rPr>
        <w:t>(</w:t>
      </w:r>
      <w:r w:rsidRPr="00BC7BB2">
        <w:rPr>
          <w:rFonts w:ascii="Arial" w:hAnsi="Arial" w:cs="Arial"/>
          <w:bCs/>
          <w:kern w:val="28"/>
        </w:rPr>
        <w:t xml:space="preserve">70,2% </w:t>
      </w:r>
      <w:r w:rsidR="00DD6D02">
        <w:rPr>
          <w:rFonts w:ascii="Arial" w:hAnsi="Arial" w:cs="Arial"/>
          <w:bCs/>
          <w:kern w:val="28"/>
        </w:rPr>
        <w:t>contro</w:t>
      </w:r>
      <w:r w:rsidRPr="00BC7BB2">
        <w:rPr>
          <w:rFonts w:ascii="Arial" w:hAnsi="Arial" w:cs="Arial"/>
          <w:bCs/>
          <w:kern w:val="28"/>
        </w:rPr>
        <w:t xml:space="preserve"> 56,7% nel Mezzogiorno</w:t>
      </w:r>
      <w:r w:rsidR="00EB1E1B">
        <w:rPr>
          <w:rFonts w:ascii="Arial" w:hAnsi="Arial" w:cs="Arial"/>
          <w:bCs/>
          <w:kern w:val="28"/>
        </w:rPr>
        <w:t>)</w:t>
      </w:r>
      <w:r w:rsidRPr="00BC7BB2">
        <w:rPr>
          <w:rFonts w:ascii="Arial" w:hAnsi="Arial" w:cs="Arial"/>
          <w:bCs/>
          <w:kern w:val="28"/>
        </w:rPr>
        <w:t>.</w:t>
      </w:r>
    </w:p>
    <w:p w:rsidR="00035D3A" w:rsidRDefault="00BC2639" w:rsidP="00A34343">
      <w:pPr>
        <w:pStyle w:val="Testonormale"/>
        <w:numPr>
          <w:ilvl w:val="0"/>
          <w:numId w:val="1"/>
        </w:numPr>
        <w:spacing w:after="120"/>
        <w:ind w:left="284" w:hanging="284"/>
        <w:jc w:val="both"/>
        <w:rPr>
          <w:rFonts w:ascii="Arial" w:hAnsi="Arial" w:cs="Arial"/>
          <w:bCs/>
          <w:kern w:val="28"/>
        </w:rPr>
      </w:pPr>
      <w:r w:rsidRPr="00BC2639">
        <w:rPr>
          <w:rFonts w:ascii="Arial" w:hAnsi="Arial" w:cs="Arial"/>
          <w:bCs/>
          <w:kern w:val="28"/>
        </w:rPr>
        <w:t>Gli individui della coorte 2014, rispetto a quelli della coorte del 2010, hanno avuto nei successivi tre anni un maggior numero di giornate con almeno un contratto di lavoro attivo: il tasso di saturazione è pari rispettivamente a 61,4% e 59,5%</w:t>
      </w:r>
      <w:r w:rsidR="00374356" w:rsidRPr="00035D3A">
        <w:rPr>
          <w:rFonts w:ascii="Arial" w:hAnsi="Arial" w:cs="Arial"/>
          <w:bCs/>
          <w:kern w:val="28"/>
        </w:rPr>
        <w:t>. In entramb</w:t>
      </w:r>
      <w:r w:rsidR="00857FDF">
        <w:rPr>
          <w:rFonts w:ascii="Arial" w:hAnsi="Arial" w:cs="Arial"/>
          <w:bCs/>
          <w:kern w:val="28"/>
        </w:rPr>
        <w:t>i</w:t>
      </w:r>
      <w:r w:rsidR="00374356" w:rsidRPr="00035D3A">
        <w:rPr>
          <w:rFonts w:ascii="Arial" w:hAnsi="Arial" w:cs="Arial"/>
          <w:bCs/>
          <w:kern w:val="28"/>
        </w:rPr>
        <w:t xml:space="preserve"> </w:t>
      </w:r>
      <w:r w:rsidR="00857FDF">
        <w:rPr>
          <w:rFonts w:ascii="Arial" w:hAnsi="Arial" w:cs="Arial"/>
          <w:bCs/>
          <w:kern w:val="28"/>
        </w:rPr>
        <w:t>i gruppi</w:t>
      </w:r>
      <w:r w:rsidR="00374356" w:rsidRPr="00035D3A">
        <w:rPr>
          <w:rFonts w:ascii="Arial" w:hAnsi="Arial" w:cs="Arial"/>
          <w:bCs/>
          <w:kern w:val="28"/>
        </w:rPr>
        <w:t>, i tassi di saturazione più elevati si riscontrano per i 35-44enni mentre i valori sono inferiori per i più giovani (fino a 24 anni) e per gli individui con oltre 54 anni di età. Gli individui della coorte 2014 che lavorano nel Mezzogiorno hanno un tasso di saturazione nel triennio del 55,2%, che corrisponde a po</w:t>
      </w:r>
      <w:r w:rsidR="00035D3A" w:rsidRPr="00035D3A">
        <w:rPr>
          <w:rFonts w:ascii="Arial" w:hAnsi="Arial" w:cs="Arial"/>
          <w:bCs/>
          <w:kern w:val="28"/>
        </w:rPr>
        <w:t>co più di 200 giorni all’anno</w:t>
      </w:r>
      <w:r w:rsidR="00EB1E1B">
        <w:rPr>
          <w:rFonts w:ascii="Arial" w:hAnsi="Arial" w:cs="Arial"/>
          <w:bCs/>
          <w:kern w:val="28"/>
        </w:rPr>
        <w:t>. N</w:t>
      </w:r>
      <w:r w:rsidR="00035D3A" w:rsidRPr="00035D3A">
        <w:rPr>
          <w:rFonts w:ascii="Arial" w:hAnsi="Arial" w:cs="Arial"/>
          <w:bCs/>
          <w:kern w:val="28"/>
        </w:rPr>
        <w:t>el</w:t>
      </w:r>
      <w:r w:rsidR="00374356" w:rsidRPr="00035D3A">
        <w:rPr>
          <w:rFonts w:ascii="Arial" w:hAnsi="Arial" w:cs="Arial"/>
          <w:bCs/>
          <w:kern w:val="28"/>
        </w:rPr>
        <w:t xml:space="preserve"> Nord-ovest </w:t>
      </w:r>
      <w:r w:rsidR="00EB1E1B">
        <w:rPr>
          <w:rFonts w:ascii="Arial" w:hAnsi="Arial" w:cs="Arial"/>
          <w:bCs/>
          <w:kern w:val="28"/>
        </w:rPr>
        <w:t>lo stesso tasso</w:t>
      </w:r>
      <w:r w:rsidR="00374356" w:rsidRPr="00035D3A">
        <w:rPr>
          <w:rFonts w:ascii="Arial" w:hAnsi="Arial" w:cs="Arial"/>
          <w:bCs/>
          <w:kern w:val="28"/>
        </w:rPr>
        <w:t xml:space="preserve"> raggiunge quota 67,1%, con un numero medio annuo di 245 giornate lavorate. </w:t>
      </w:r>
    </w:p>
    <w:p w:rsidR="00A60193" w:rsidRDefault="00BC7BB2" w:rsidP="009B6C68">
      <w:pPr>
        <w:pStyle w:val="Testonormale"/>
        <w:numPr>
          <w:ilvl w:val="0"/>
          <w:numId w:val="1"/>
        </w:numPr>
        <w:spacing w:after="120"/>
        <w:ind w:left="284" w:hanging="284"/>
        <w:jc w:val="both"/>
        <w:rPr>
          <w:rFonts w:ascii="Arial" w:hAnsi="Arial" w:cs="Arial"/>
          <w:bCs/>
          <w:kern w:val="28"/>
        </w:rPr>
      </w:pPr>
      <w:r>
        <w:rPr>
          <w:rFonts w:ascii="Arial" w:hAnsi="Arial" w:cs="Arial"/>
          <w:bCs/>
          <w:kern w:val="28"/>
        </w:rPr>
        <w:t>L</w:t>
      </w:r>
      <w:r w:rsidR="00374356" w:rsidRPr="00BC7BB2">
        <w:rPr>
          <w:rFonts w:ascii="Arial" w:hAnsi="Arial" w:cs="Arial"/>
          <w:bCs/>
          <w:kern w:val="28"/>
        </w:rPr>
        <w:t>a quota di coloro che, entrati con un contratto temporaneo, sono passati a uno permanente (transizioni) risulta superiore pe</w:t>
      </w:r>
      <w:r>
        <w:rPr>
          <w:rFonts w:ascii="Arial" w:hAnsi="Arial" w:cs="Arial"/>
          <w:bCs/>
          <w:kern w:val="28"/>
        </w:rPr>
        <w:t>r le classi di età più giovani</w:t>
      </w:r>
      <w:r w:rsidR="00374356" w:rsidRPr="00BC7BB2">
        <w:rPr>
          <w:rFonts w:ascii="Arial" w:hAnsi="Arial" w:cs="Arial"/>
          <w:bCs/>
          <w:kern w:val="28"/>
        </w:rPr>
        <w:t xml:space="preserve"> e per la componente maschile</w:t>
      </w:r>
      <w:r w:rsidR="00EB1E1B">
        <w:rPr>
          <w:rFonts w:ascii="Arial" w:hAnsi="Arial" w:cs="Arial"/>
          <w:bCs/>
          <w:kern w:val="28"/>
        </w:rPr>
        <w:t>,</w:t>
      </w:r>
      <w:r w:rsidR="00374356" w:rsidRPr="00BC7BB2">
        <w:rPr>
          <w:rFonts w:ascii="Arial" w:hAnsi="Arial" w:cs="Arial"/>
          <w:bCs/>
          <w:kern w:val="28"/>
        </w:rPr>
        <w:t xml:space="preserve"> con un divario di genere che tende a diminuire </w:t>
      </w:r>
      <w:r w:rsidR="00EB1E1B">
        <w:rPr>
          <w:rFonts w:ascii="Arial" w:hAnsi="Arial" w:cs="Arial"/>
          <w:bCs/>
          <w:kern w:val="28"/>
        </w:rPr>
        <w:t>al</w:t>
      </w:r>
      <w:r w:rsidR="00374356" w:rsidRPr="00BC7BB2">
        <w:rPr>
          <w:rFonts w:ascii="Arial" w:hAnsi="Arial" w:cs="Arial"/>
          <w:bCs/>
          <w:kern w:val="28"/>
        </w:rPr>
        <w:t xml:space="preserve">l’aumentare del periodo di osservazione. </w:t>
      </w:r>
      <w:r>
        <w:rPr>
          <w:rFonts w:ascii="Arial" w:hAnsi="Arial" w:cs="Arial"/>
          <w:bCs/>
          <w:kern w:val="28"/>
        </w:rPr>
        <w:t>F</w:t>
      </w:r>
      <w:r w:rsidR="00374356" w:rsidRPr="00BC7BB2">
        <w:rPr>
          <w:rFonts w:ascii="Arial" w:hAnsi="Arial" w:cs="Arial"/>
          <w:bCs/>
          <w:kern w:val="28"/>
        </w:rPr>
        <w:t>orti le differenze territoriali</w:t>
      </w:r>
      <w:r w:rsidR="00035D3A" w:rsidRPr="00BC7BB2">
        <w:rPr>
          <w:rFonts w:ascii="Arial" w:hAnsi="Arial" w:cs="Arial"/>
          <w:bCs/>
          <w:kern w:val="28"/>
        </w:rPr>
        <w:t>:</w:t>
      </w:r>
      <w:r w:rsidR="00374356" w:rsidRPr="00BC7BB2">
        <w:rPr>
          <w:rFonts w:ascii="Arial" w:hAnsi="Arial" w:cs="Arial"/>
          <w:bCs/>
          <w:kern w:val="28"/>
        </w:rPr>
        <w:t xml:space="preserve"> tra gli entrati con un contratto temporaneo nel 2014</w:t>
      </w:r>
      <w:r w:rsidR="00EB1E1B">
        <w:rPr>
          <w:rFonts w:ascii="Arial" w:hAnsi="Arial" w:cs="Arial"/>
          <w:bCs/>
          <w:kern w:val="28"/>
        </w:rPr>
        <w:t xml:space="preserve">, </w:t>
      </w:r>
      <w:r w:rsidR="00EB1E1B" w:rsidRPr="00BC7BB2">
        <w:rPr>
          <w:rFonts w:ascii="Arial" w:hAnsi="Arial" w:cs="Arial"/>
          <w:bCs/>
          <w:kern w:val="28"/>
        </w:rPr>
        <w:t>nel Mezzogiorno</w:t>
      </w:r>
      <w:r w:rsidR="00374356" w:rsidRPr="00BC7BB2">
        <w:rPr>
          <w:rFonts w:ascii="Arial" w:hAnsi="Arial" w:cs="Arial"/>
          <w:bCs/>
          <w:kern w:val="28"/>
        </w:rPr>
        <w:t xml:space="preserve"> solo il 18,2% risulta transitato a un lavoro permanente dopo tre anni</w:t>
      </w:r>
      <w:r w:rsidR="00EB1E1B">
        <w:rPr>
          <w:rFonts w:ascii="Arial" w:hAnsi="Arial" w:cs="Arial"/>
          <w:bCs/>
          <w:kern w:val="28"/>
        </w:rPr>
        <w:t>,</w:t>
      </w:r>
      <w:r w:rsidR="00374356" w:rsidRPr="00BC7BB2">
        <w:rPr>
          <w:rFonts w:ascii="Arial" w:hAnsi="Arial" w:cs="Arial"/>
          <w:bCs/>
          <w:kern w:val="28"/>
        </w:rPr>
        <w:t xml:space="preserve"> </w:t>
      </w:r>
      <w:r w:rsidR="00EB1E1B">
        <w:rPr>
          <w:rFonts w:ascii="Arial" w:hAnsi="Arial" w:cs="Arial"/>
          <w:bCs/>
          <w:kern w:val="28"/>
        </w:rPr>
        <w:t>contro</w:t>
      </w:r>
      <w:r w:rsidR="00374356" w:rsidRPr="00BC7BB2">
        <w:rPr>
          <w:rFonts w:ascii="Arial" w:hAnsi="Arial" w:cs="Arial"/>
          <w:bCs/>
          <w:kern w:val="28"/>
        </w:rPr>
        <w:t xml:space="preserve"> una quota circ</w:t>
      </w:r>
      <w:r>
        <w:rPr>
          <w:rFonts w:ascii="Arial" w:hAnsi="Arial" w:cs="Arial"/>
          <w:bCs/>
          <w:kern w:val="28"/>
        </w:rPr>
        <w:t>a doppia nel Nord-ovest (36,0%).</w:t>
      </w:r>
    </w:p>
    <w:p w:rsidR="009B6C68" w:rsidRPr="009B6C68" w:rsidRDefault="009B6C68" w:rsidP="009B6C68">
      <w:pPr>
        <w:pStyle w:val="Testonormale"/>
        <w:spacing w:after="120"/>
        <w:ind w:left="284"/>
        <w:jc w:val="both"/>
        <w:rPr>
          <w:rFonts w:ascii="Arial" w:hAnsi="Arial" w:cs="Arial"/>
          <w:bCs/>
          <w:kern w:val="28"/>
        </w:rPr>
      </w:pPr>
    </w:p>
    <w:tbl>
      <w:tblPr>
        <w:tblStyle w:val="Grigliatabella"/>
        <w:tblW w:w="8207" w:type="dxa"/>
        <w:tblInd w:w="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6"/>
        <w:gridCol w:w="4051"/>
      </w:tblGrid>
      <w:tr w:rsidR="00A60193" w:rsidTr="009B6C68">
        <w:trPr>
          <w:trHeight w:val="275"/>
        </w:trPr>
        <w:tc>
          <w:tcPr>
            <w:tcW w:w="4156" w:type="dxa"/>
          </w:tcPr>
          <w:p w:rsidR="00A60193" w:rsidRPr="002C62FE" w:rsidRDefault="00A60193" w:rsidP="009B6C68">
            <w:pPr>
              <w:pStyle w:val="Testonormale"/>
              <w:spacing w:after="120"/>
              <w:jc w:val="both"/>
              <w:rPr>
                <w:rFonts w:ascii="Arial" w:hAnsi="Arial" w:cs="Arial"/>
                <w:bCs/>
                <w:kern w:val="28"/>
              </w:rPr>
            </w:pPr>
            <w:r w:rsidRPr="00A86EBA">
              <w:rPr>
                <w:rFonts w:ascii="Arial Narrow" w:hAnsi="Arial Narrow" w:cs="Arial"/>
                <w:b/>
                <w:bCs/>
                <w:kern w:val="28"/>
              </w:rPr>
              <w:t>Transizione dei lavoratori verso contratti permanenti per numero di mesi dall’ingresso. Coorti 2010 e 2014</w:t>
            </w:r>
            <w:r w:rsidRPr="00516302">
              <w:rPr>
                <w:rFonts w:ascii="Arial Narrow" w:hAnsi="Arial Narrow" w:cs="Arial"/>
                <w:b/>
                <w:bCs/>
                <w:color w:val="404040" w:themeColor="text1" w:themeTint="BF"/>
                <w:kern w:val="28"/>
              </w:rPr>
              <w:t xml:space="preserve"> </w:t>
            </w:r>
            <w:r w:rsidRPr="00A86EBA">
              <w:rPr>
                <w:rFonts w:ascii="Arial Narrow" w:hAnsi="Arial Narrow" w:cs="Arial"/>
                <w:bCs/>
                <w:color w:val="404040" w:themeColor="text1" w:themeTint="BF"/>
                <w:kern w:val="28"/>
                <w:sz w:val="19"/>
                <w:szCs w:val="19"/>
              </w:rPr>
              <w:t>(valori percentuali)</w:t>
            </w:r>
          </w:p>
        </w:tc>
        <w:tc>
          <w:tcPr>
            <w:tcW w:w="4051" w:type="dxa"/>
          </w:tcPr>
          <w:p w:rsidR="00A60193" w:rsidRPr="002C62FE" w:rsidRDefault="009B6C68" w:rsidP="009B6C68">
            <w:pPr>
              <w:pStyle w:val="Testonormale"/>
              <w:spacing w:after="120"/>
              <w:jc w:val="both"/>
              <w:rPr>
                <w:rFonts w:ascii="Arial" w:hAnsi="Arial" w:cs="Arial"/>
                <w:bCs/>
                <w:kern w:val="28"/>
              </w:rPr>
            </w:pPr>
            <w:r w:rsidRPr="00A86EBA">
              <w:rPr>
                <w:rFonts w:ascii="Arial Narrow" w:hAnsi="Arial Narrow" w:cs="Arial"/>
                <w:b/>
                <w:bCs/>
                <w:kern w:val="28"/>
              </w:rPr>
              <w:t>Transizione dei lavoratori verso contratti permanenti per numero di mesi dall’ingresso e ripartizione. Coorte 2014</w:t>
            </w:r>
            <w:r w:rsidRPr="00516302">
              <w:rPr>
                <w:rFonts w:ascii="Arial Narrow" w:hAnsi="Arial Narrow" w:cs="Arial"/>
                <w:b/>
                <w:bCs/>
                <w:color w:val="404040" w:themeColor="text1" w:themeTint="BF"/>
                <w:kern w:val="28"/>
              </w:rPr>
              <w:t xml:space="preserve"> </w:t>
            </w:r>
            <w:r w:rsidRPr="00A86EBA">
              <w:rPr>
                <w:rFonts w:ascii="Arial Narrow" w:hAnsi="Arial Narrow" w:cs="Arial"/>
                <w:bCs/>
                <w:color w:val="404040" w:themeColor="text1" w:themeTint="BF"/>
                <w:kern w:val="28"/>
                <w:sz w:val="19"/>
                <w:szCs w:val="19"/>
              </w:rPr>
              <w:t>(valori percentuali)</w:t>
            </w:r>
          </w:p>
        </w:tc>
      </w:tr>
      <w:tr w:rsidR="00A60193" w:rsidTr="009B6C68">
        <w:trPr>
          <w:trHeight w:val="1698"/>
        </w:trPr>
        <w:tc>
          <w:tcPr>
            <w:tcW w:w="4156" w:type="dxa"/>
          </w:tcPr>
          <w:p w:rsidR="00A60193" w:rsidRDefault="00A60193" w:rsidP="00F03C8C">
            <w:pPr>
              <w:pStyle w:val="Testonormale"/>
              <w:spacing w:after="120"/>
              <w:jc w:val="both"/>
              <w:rPr>
                <w:rFonts w:ascii="Arial" w:hAnsi="Arial" w:cs="Arial"/>
                <w:bCs/>
                <w:kern w:val="28"/>
              </w:rPr>
            </w:pPr>
            <w:r>
              <w:rPr>
                <w:noProof/>
              </w:rPr>
              <w:drawing>
                <wp:inline distT="0" distB="0" distL="0" distR="0" wp14:anchorId="6164E537" wp14:editId="76BA4B24">
                  <wp:extent cx="2579348" cy="2145933"/>
                  <wp:effectExtent l="0" t="0" r="0" b="6985"/>
                  <wp:docPr id="24" name="Grafico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  <w:tc>
          <w:tcPr>
            <w:tcW w:w="4051" w:type="dxa"/>
          </w:tcPr>
          <w:p w:rsidR="00A60193" w:rsidRDefault="00A60193" w:rsidP="00F03C8C">
            <w:pPr>
              <w:pStyle w:val="Testonormale"/>
              <w:spacing w:after="120"/>
              <w:jc w:val="both"/>
              <w:rPr>
                <w:rFonts w:ascii="Arial" w:hAnsi="Arial" w:cs="Arial"/>
                <w:bCs/>
                <w:kern w:val="28"/>
              </w:rPr>
            </w:pPr>
            <w:r>
              <w:rPr>
                <w:noProof/>
              </w:rPr>
              <w:drawing>
                <wp:inline distT="0" distB="0" distL="0" distR="0" wp14:anchorId="63E18DF3" wp14:editId="5F0F9671">
                  <wp:extent cx="2595205" cy="2145933"/>
                  <wp:effectExtent l="0" t="0" r="0" b="6985"/>
                  <wp:docPr id="25" name="Grafico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</w:tbl>
    <w:p w:rsidR="0037322A" w:rsidRDefault="0037322A" w:rsidP="009B6C68">
      <w:pPr>
        <w:rPr>
          <w:rFonts w:ascii="Arial" w:hAnsi="Arial" w:cs="Arial"/>
          <w:bCs/>
          <w:kern w:val="28"/>
          <w:sz w:val="15"/>
          <w:szCs w:val="15"/>
        </w:rPr>
      </w:pPr>
    </w:p>
    <w:p w:rsidR="00F928AC" w:rsidRPr="00A86EBA" w:rsidRDefault="009B6C68" w:rsidP="00CE1157">
      <w:pPr>
        <w:ind w:left="284"/>
        <w:rPr>
          <w:rFonts w:ascii="Arial Narrow" w:hAnsi="Arial Narrow" w:cs="Arial"/>
          <w:bCs/>
          <w:kern w:val="28"/>
          <w:sz w:val="15"/>
          <w:szCs w:val="15"/>
        </w:rPr>
      </w:pPr>
      <w:r w:rsidRPr="00A86EBA">
        <w:rPr>
          <w:rFonts w:ascii="Arial Narrow" w:hAnsi="Arial Narrow" w:cs="Arial"/>
          <w:bCs/>
          <w:kern w:val="28"/>
          <w:sz w:val="15"/>
          <w:szCs w:val="15"/>
        </w:rPr>
        <w:t>Fonte: Elaborazioni su dati Ministero del lavoro e delle politiche sociali - Comunicazioni obbligatorie SISCO</w:t>
      </w:r>
    </w:p>
    <w:p w:rsidR="00A60193" w:rsidRDefault="00A60193" w:rsidP="00FE7E30">
      <w:pPr>
        <w:spacing w:after="160" w:line="259" w:lineRule="auto"/>
        <w:rPr>
          <w:rFonts w:ascii="Arial" w:hAnsi="Arial" w:cs="Arial"/>
          <w:b/>
          <w:bCs/>
          <w:kern w:val="28"/>
          <w:sz w:val="22"/>
          <w:szCs w:val="22"/>
        </w:rPr>
      </w:pPr>
    </w:p>
    <w:p w:rsidR="00EB1E1B" w:rsidRPr="00516302" w:rsidRDefault="00EB1E1B" w:rsidP="004B05D6">
      <w:pPr>
        <w:spacing w:after="160" w:line="259" w:lineRule="auto"/>
        <w:rPr>
          <w:rFonts w:ascii="Arial" w:hAnsi="Arial" w:cs="Arial"/>
          <w:b/>
          <w:bCs/>
          <w:kern w:val="28"/>
          <w:sz w:val="10"/>
          <w:szCs w:val="10"/>
        </w:rPr>
      </w:pPr>
    </w:p>
    <w:p w:rsidR="00081403" w:rsidRPr="00516302" w:rsidRDefault="00081403" w:rsidP="004B05D6">
      <w:pPr>
        <w:spacing w:after="160" w:line="259" w:lineRule="auto"/>
        <w:rPr>
          <w:rFonts w:ascii="Arial" w:hAnsi="Arial" w:cs="Arial"/>
          <w:b/>
          <w:bCs/>
          <w:kern w:val="28"/>
          <w:sz w:val="6"/>
          <w:szCs w:val="6"/>
        </w:rPr>
      </w:pPr>
    </w:p>
    <w:p w:rsidR="00FE7E30" w:rsidRPr="00773CBD" w:rsidRDefault="00FE7E30" w:rsidP="004B05D6">
      <w:pPr>
        <w:spacing w:after="160" w:line="259" w:lineRule="auto"/>
        <w:rPr>
          <w:rFonts w:ascii="Arial" w:hAnsi="Arial" w:cs="Arial"/>
          <w:b/>
          <w:bCs/>
          <w:kern w:val="28"/>
          <w:sz w:val="22"/>
          <w:szCs w:val="22"/>
        </w:rPr>
      </w:pPr>
      <w:r w:rsidRPr="00E83F6B">
        <w:rPr>
          <w:rFonts w:ascii="Arial" w:hAnsi="Arial" w:cs="Arial"/>
          <w:b/>
          <w:bCs/>
          <w:kern w:val="28"/>
          <w:sz w:val="22"/>
          <w:szCs w:val="22"/>
        </w:rPr>
        <w:lastRenderedPageBreak/>
        <w:t xml:space="preserve">Capitolo 6. </w:t>
      </w:r>
      <w:r w:rsidR="004B05D6" w:rsidRPr="00E83F6B">
        <w:rPr>
          <w:rFonts w:ascii="Arial" w:hAnsi="Arial" w:cs="Arial"/>
          <w:b/>
          <w:bCs/>
          <w:kern w:val="28"/>
          <w:sz w:val="22"/>
          <w:szCs w:val="22"/>
        </w:rPr>
        <w:t>L’ingresso dei giovani nel mercato del lavoro: modalità, traiettorie ed esiti</w:t>
      </w:r>
    </w:p>
    <w:p w:rsidR="004B05D6" w:rsidRDefault="004B05D6" w:rsidP="00516302">
      <w:pPr>
        <w:pStyle w:val="Testonormale"/>
        <w:numPr>
          <w:ilvl w:val="0"/>
          <w:numId w:val="1"/>
        </w:numPr>
        <w:spacing w:after="100"/>
        <w:ind w:left="357" w:hanging="357"/>
        <w:jc w:val="both"/>
        <w:rPr>
          <w:rFonts w:ascii="Arial" w:hAnsi="Arial" w:cs="Arial"/>
          <w:bCs/>
          <w:kern w:val="28"/>
        </w:rPr>
      </w:pPr>
      <w:r w:rsidRPr="004B05D6">
        <w:rPr>
          <w:rFonts w:ascii="Arial" w:hAnsi="Arial" w:cs="Arial"/>
          <w:bCs/>
          <w:kern w:val="28"/>
        </w:rPr>
        <w:t xml:space="preserve">Nel 2017 </w:t>
      </w:r>
      <w:r>
        <w:rPr>
          <w:rFonts w:ascii="Arial" w:hAnsi="Arial" w:cs="Arial"/>
          <w:bCs/>
          <w:kern w:val="28"/>
        </w:rPr>
        <w:t xml:space="preserve">vi sono stati </w:t>
      </w:r>
      <w:r w:rsidRPr="004B05D6">
        <w:rPr>
          <w:rFonts w:ascii="Arial" w:hAnsi="Arial" w:cs="Arial"/>
          <w:bCs/>
          <w:kern w:val="28"/>
        </w:rPr>
        <w:t>773 mila primi ingressi di giovani</w:t>
      </w:r>
      <w:r w:rsidR="00245C93">
        <w:rPr>
          <w:rFonts w:ascii="Arial" w:hAnsi="Arial" w:cs="Arial"/>
          <w:bCs/>
          <w:kern w:val="28"/>
        </w:rPr>
        <w:t xml:space="preserve"> di 15-29 anni</w:t>
      </w:r>
      <w:r w:rsidRPr="004B05D6">
        <w:rPr>
          <w:rFonts w:ascii="Arial" w:hAnsi="Arial" w:cs="Arial"/>
          <w:bCs/>
          <w:kern w:val="28"/>
        </w:rPr>
        <w:t xml:space="preserve"> nel lavoro dipendente, parasubordinato e in </w:t>
      </w:r>
      <w:r w:rsidRPr="004332A1">
        <w:rPr>
          <w:rFonts w:ascii="Arial" w:hAnsi="Arial" w:cs="Arial"/>
          <w:bCs/>
          <w:kern w:val="28"/>
        </w:rPr>
        <w:t>somministrazione</w:t>
      </w:r>
      <w:r w:rsidR="00EB1E1B">
        <w:rPr>
          <w:rFonts w:ascii="Arial" w:hAnsi="Arial" w:cs="Arial"/>
          <w:bCs/>
          <w:kern w:val="28"/>
        </w:rPr>
        <w:t>. Essi</w:t>
      </w:r>
      <w:r w:rsidR="008B1A13" w:rsidRPr="004332A1">
        <w:rPr>
          <w:rFonts w:ascii="Arial" w:hAnsi="Arial" w:cs="Arial"/>
          <w:bCs/>
          <w:kern w:val="28"/>
        </w:rPr>
        <w:t xml:space="preserve"> rappresentano</w:t>
      </w:r>
      <w:r w:rsidRPr="004B05D6">
        <w:rPr>
          <w:rFonts w:ascii="Arial" w:hAnsi="Arial" w:cs="Arial"/>
          <w:bCs/>
          <w:kern w:val="28"/>
        </w:rPr>
        <w:t xml:space="preserve"> il 35% del totale degli oltre 2 milioni di individui che, nella stessa fascia di età, sono stati interessati dall’avvio di almeno un rapporto di lavoro nell’anno</w:t>
      </w:r>
      <w:r w:rsidR="00EB1E1B">
        <w:rPr>
          <w:rFonts w:ascii="Arial" w:hAnsi="Arial" w:cs="Arial"/>
          <w:bCs/>
          <w:kern w:val="28"/>
        </w:rPr>
        <w:t>.</w:t>
      </w:r>
      <w:r w:rsidRPr="004B05D6">
        <w:rPr>
          <w:rFonts w:ascii="Arial" w:hAnsi="Arial" w:cs="Arial"/>
          <w:bCs/>
          <w:kern w:val="28"/>
        </w:rPr>
        <w:t xml:space="preserve"> </w:t>
      </w:r>
      <w:r w:rsidR="00EB1E1B">
        <w:rPr>
          <w:rFonts w:ascii="Arial" w:hAnsi="Arial" w:cs="Arial"/>
          <w:bCs/>
          <w:kern w:val="28"/>
        </w:rPr>
        <w:t>I</w:t>
      </w:r>
      <w:r w:rsidRPr="004B05D6">
        <w:rPr>
          <w:rFonts w:ascii="Arial" w:hAnsi="Arial" w:cs="Arial"/>
          <w:bCs/>
          <w:kern w:val="28"/>
        </w:rPr>
        <w:t xml:space="preserve">l dato risulta in crescita rispetto </w:t>
      </w:r>
      <w:r>
        <w:rPr>
          <w:rFonts w:ascii="Arial" w:hAnsi="Arial" w:cs="Arial"/>
          <w:bCs/>
          <w:kern w:val="28"/>
        </w:rPr>
        <w:t>al 2016 (+28,4%) e in confronto a due anni prima (+</w:t>
      </w:r>
      <w:r w:rsidRPr="004B05D6">
        <w:rPr>
          <w:rFonts w:ascii="Arial" w:hAnsi="Arial" w:cs="Arial"/>
          <w:bCs/>
          <w:kern w:val="28"/>
        </w:rPr>
        <w:t>34,4%</w:t>
      </w:r>
      <w:r>
        <w:rPr>
          <w:rFonts w:ascii="Arial" w:hAnsi="Arial" w:cs="Arial"/>
          <w:bCs/>
          <w:kern w:val="28"/>
        </w:rPr>
        <w:t>, 198 mila in più)</w:t>
      </w:r>
      <w:r w:rsidRPr="004B05D6">
        <w:rPr>
          <w:rFonts w:ascii="Arial" w:hAnsi="Arial" w:cs="Arial"/>
          <w:bCs/>
          <w:kern w:val="28"/>
        </w:rPr>
        <w:t xml:space="preserve">. </w:t>
      </w:r>
    </w:p>
    <w:p w:rsidR="004B05D6" w:rsidRDefault="004B05D6" w:rsidP="00516302">
      <w:pPr>
        <w:pStyle w:val="Testonormale"/>
        <w:numPr>
          <w:ilvl w:val="0"/>
          <w:numId w:val="1"/>
        </w:numPr>
        <w:spacing w:after="100"/>
        <w:ind w:left="357" w:hanging="357"/>
        <w:jc w:val="both"/>
        <w:rPr>
          <w:rFonts w:ascii="Arial" w:hAnsi="Arial" w:cs="Arial"/>
          <w:bCs/>
          <w:kern w:val="28"/>
        </w:rPr>
      </w:pPr>
      <w:r>
        <w:rPr>
          <w:rFonts w:ascii="Arial" w:hAnsi="Arial" w:cs="Arial"/>
          <w:bCs/>
          <w:kern w:val="28"/>
        </w:rPr>
        <w:t>Nel 2017 l</w:t>
      </w:r>
      <w:r w:rsidRPr="004B05D6">
        <w:rPr>
          <w:rFonts w:ascii="Arial" w:hAnsi="Arial" w:cs="Arial"/>
          <w:bCs/>
          <w:kern w:val="28"/>
        </w:rPr>
        <w:t>’età media al primo ingresso è di circa 22 anni</w:t>
      </w:r>
      <w:r w:rsidR="00EB1E1B">
        <w:rPr>
          <w:rFonts w:ascii="Arial" w:hAnsi="Arial" w:cs="Arial"/>
          <w:bCs/>
          <w:kern w:val="28"/>
        </w:rPr>
        <w:t>,</w:t>
      </w:r>
      <w:r w:rsidRPr="004B05D6">
        <w:rPr>
          <w:rFonts w:ascii="Arial" w:hAnsi="Arial" w:cs="Arial"/>
          <w:bCs/>
          <w:kern w:val="28"/>
        </w:rPr>
        <w:t xml:space="preserve"> nel 55% dei casi si tratta di uomini. Su 100 primi ingressi, oltre 50 si registrano nel Nord, 20 al Centro e 30 nel Mezzogiorno; 80 sono riferiti a cittadini italiani e 20 a stranieri. </w:t>
      </w:r>
    </w:p>
    <w:p w:rsidR="004B05D6" w:rsidRDefault="004B05D6" w:rsidP="00516302">
      <w:pPr>
        <w:pStyle w:val="Testonormale"/>
        <w:numPr>
          <w:ilvl w:val="0"/>
          <w:numId w:val="1"/>
        </w:numPr>
        <w:spacing w:after="100"/>
        <w:jc w:val="both"/>
        <w:rPr>
          <w:rFonts w:ascii="Arial" w:hAnsi="Arial" w:cs="Arial"/>
          <w:bCs/>
          <w:kern w:val="28"/>
        </w:rPr>
      </w:pPr>
      <w:r w:rsidRPr="004B05D6">
        <w:rPr>
          <w:rFonts w:ascii="Arial" w:hAnsi="Arial" w:cs="Arial"/>
          <w:bCs/>
          <w:kern w:val="28"/>
        </w:rPr>
        <w:t>Il contratto a tempo determinato è il più utilizzato al primo ingresso (50%), seguito da apprendistato (14%) e lavoro intermittente (12%)</w:t>
      </w:r>
      <w:r w:rsidR="00EB1E1B">
        <w:rPr>
          <w:rFonts w:ascii="Arial" w:hAnsi="Arial" w:cs="Arial"/>
          <w:bCs/>
          <w:kern w:val="28"/>
        </w:rPr>
        <w:t>. S</w:t>
      </w:r>
      <w:r w:rsidRPr="004B05D6">
        <w:rPr>
          <w:rFonts w:ascii="Arial" w:hAnsi="Arial" w:cs="Arial"/>
          <w:bCs/>
          <w:kern w:val="28"/>
        </w:rPr>
        <w:t xml:space="preserve">olo il 9% avviene con contratto a tempo indeterminato o in somministrazione e il 4% nella forma di collaborazione. </w:t>
      </w:r>
    </w:p>
    <w:p w:rsidR="004B05D6" w:rsidRDefault="004B05D6" w:rsidP="00516302">
      <w:pPr>
        <w:pStyle w:val="Testonormale"/>
        <w:numPr>
          <w:ilvl w:val="0"/>
          <w:numId w:val="1"/>
        </w:numPr>
        <w:spacing w:after="100"/>
        <w:ind w:left="357" w:hanging="357"/>
        <w:jc w:val="both"/>
        <w:rPr>
          <w:rFonts w:ascii="Arial" w:hAnsi="Arial" w:cs="Arial"/>
          <w:bCs/>
          <w:kern w:val="28"/>
        </w:rPr>
      </w:pPr>
      <w:r w:rsidRPr="004B05D6">
        <w:rPr>
          <w:rFonts w:ascii="Arial" w:hAnsi="Arial" w:cs="Arial"/>
          <w:bCs/>
          <w:kern w:val="28"/>
        </w:rPr>
        <w:t>Tra il 2015 e il 2017 le modifiche normative hanno avuto un forte impatto sulla distribuzione dei contratti al primo ingresso</w:t>
      </w:r>
      <w:r w:rsidR="00EB1E1B">
        <w:rPr>
          <w:rFonts w:ascii="Arial" w:hAnsi="Arial" w:cs="Arial"/>
          <w:bCs/>
          <w:kern w:val="28"/>
        </w:rPr>
        <w:t>.</w:t>
      </w:r>
      <w:r w:rsidR="00286904">
        <w:rPr>
          <w:rFonts w:ascii="Arial" w:hAnsi="Arial" w:cs="Arial"/>
          <w:bCs/>
          <w:kern w:val="28"/>
        </w:rPr>
        <w:t xml:space="preserve"> </w:t>
      </w:r>
      <w:r w:rsidR="00EB1E1B">
        <w:rPr>
          <w:rFonts w:ascii="Arial" w:hAnsi="Arial" w:cs="Arial"/>
          <w:bCs/>
          <w:kern w:val="28"/>
        </w:rPr>
        <w:t>I</w:t>
      </w:r>
      <w:r w:rsidR="00286904">
        <w:rPr>
          <w:rFonts w:ascii="Arial" w:hAnsi="Arial" w:cs="Arial"/>
          <w:bCs/>
          <w:kern w:val="28"/>
        </w:rPr>
        <w:t>n particolare si osserva</w:t>
      </w:r>
      <w:r w:rsidR="00286904" w:rsidRPr="004B05D6">
        <w:rPr>
          <w:rFonts w:ascii="Arial" w:hAnsi="Arial" w:cs="Arial"/>
          <w:bCs/>
          <w:kern w:val="28"/>
        </w:rPr>
        <w:t xml:space="preserve"> </w:t>
      </w:r>
      <w:r w:rsidRPr="004B05D6">
        <w:rPr>
          <w:rFonts w:ascii="Arial" w:hAnsi="Arial" w:cs="Arial"/>
          <w:bCs/>
          <w:kern w:val="28"/>
        </w:rPr>
        <w:t xml:space="preserve">il dimezzamento del tempo indeterminato a seguito del venir meno dell’incentivo della decontribuzione piena </w:t>
      </w:r>
      <w:r>
        <w:rPr>
          <w:rFonts w:ascii="Arial" w:hAnsi="Arial" w:cs="Arial"/>
          <w:bCs/>
          <w:kern w:val="28"/>
        </w:rPr>
        <w:t>del 2015</w:t>
      </w:r>
      <w:r w:rsidR="00286904">
        <w:rPr>
          <w:rFonts w:ascii="Arial" w:hAnsi="Arial" w:cs="Arial"/>
          <w:bCs/>
          <w:kern w:val="28"/>
        </w:rPr>
        <w:t xml:space="preserve"> e </w:t>
      </w:r>
      <w:r w:rsidRPr="004B05D6">
        <w:rPr>
          <w:rFonts w:ascii="Arial" w:hAnsi="Arial" w:cs="Arial"/>
          <w:bCs/>
          <w:kern w:val="28"/>
        </w:rPr>
        <w:t xml:space="preserve">la triplicazione dei nuovi ingressi con lavoro intermittente in concomitanza con l’abolizione dei voucher. </w:t>
      </w:r>
    </w:p>
    <w:p w:rsidR="001C05CB" w:rsidRPr="004B05D6" w:rsidRDefault="001C05CB" w:rsidP="00516302">
      <w:pPr>
        <w:pStyle w:val="Testonormale"/>
        <w:numPr>
          <w:ilvl w:val="0"/>
          <w:numId w:val="1"/>
        </w:numPr>
        <w:spacing w:after="100"/>
        <w:ind w:left="357" w:hanging="357"/>
        <w:jc w:val="both"/>
        <w:rPr>
          <w:rFonts w:ascii="Arial" w:hAnsi="Arial" w:cs="Arial"/>
          <w:bCs/>
          <w:kern w:val="28"/>
        </w:rPr>
      </w:pPr>
      <w:r w:rsidRPr="004B05D6">
        <w:rPr>
          <w:rFonts w:ascii="Arial" w:hAnsi="Arial" w:cs="Arial"/>
          <w:bCs/>
          <w:kern w:val="28"/>
        </w:rPr>
        <w:t>Alloggio e ristorazione, trasporto e altri servizi di mercato sono i settori più ricettivi per i giovani alla prima esperienza di lavoro dipendente</w:t>
      </w:r>
      <w:r w:rsidR="00EB1E1B">
        <w:rPr>
          <w:rFonts w:ascii="Arial" w:hAnsi="Arial" w:cs="Arial"/>
          <w:bCs/>
          <w:kern w:val="28"/>
        </w:rPr>
        <w:t>.</w:t>
      </w:r>
      <w:r w:rsidRPr="004B05D6">
        <w:rPr>
          <w:rFonts w:ascii="Arial" w:hAnsi="Arial" w:cs="Arial"/>
          <w:bCs/>
          <w:kern w:val="28"/>
        </w:rPr>
        <w:t xml:space="preserve"> </w:t>
      </w:r>
      <w:r w:rsidR="00EB1E1B">
        <w:rPr>
          <w:rFonts w:ascii="Arial" w:hAnsi="Arial" w:cs="Arial"/>
          <w:bCs/>
          <w:kern w:val="28"/>
        </w:rPr>
        <w:t>L</w:t>
      </w:r>
      <w:r w:rsidR="00EB1E1B" w:rsidRPr="004B05D6">
        <w:rPr>
          <w:rFonts w:ascii="Arial" w:hAnsi="Arial" w:cs="Arial"/>
          <w:bCs/>
          <w:kern w:val="28"/>
        </w:rPr>
        <w:t xml:space="preserve">e professioni </w:t>
      </w:r>
      <w:r w:rsidR="00EB1E1B">
        <w:rPr>
          <w:rFonts w:ascii="Arial" w:hAnsi="Arial" w:cs="Arial"/>
          <w:bCs/>
          <w:kern w:val="28"/>
        </w:rPr>
        <w:t>più frequenti</w:t>
      </w:r>
      <w:r w:rsidR="00EB1E1B" w:rsidRPr="004B05D6">
        <w:rPr>
          <w:rFonts w:ascii="Arial" w:hAnsi="Arial" w:cs="Arial"/>
          <w:bCs/>
          <w:kern w:val="28"/>
        </w:rPr>
        <w:t xml:space="preserve"> </w:t>
      </w:r>
      <w:r w:rsidR="00EB1E1B">
        <w:rPr>
          <w:rFonts w:ascii="Arial" w:hAnsi="Arial" w:cs="Arial"/>
          <w:bCs/>
          <w:kern w:val="28"/>
        </w:rPr>
        <w:t xml:space="preserve">sono </w:t>
      </w:r>
      <w:r w:rsidRPr="004B05D6">
        <w:rPr>
          <w:rFonts w:ascii="Arial" w:hAnsi="Arial" w:cs="Arial"/>
          <w:bCs/>
          <w:kern w:val="28"/>
        </w:rPr>
        <w:t>camerieri e assimilati (12%), commessi delle vendite al minuto (8,5%), braccianti agricoli (7,4%), lavori esecutivi di ufficio (2,8%).</w:t>
      </w:r>
    </w:p>
    <w:p w:rsidR="001C05CB" w:rsidRDefault="004332A1" w:rsidP="001C05CB">
      <w:pPr>
        <w:pStyle w:val="Testonormale"/>
        <w:numPr>
          <w:ilvl w:val="0"/>
          <w:numId w:val="1"/>
        </w:numPr>
        <w:spacing w:after="120"/>
        <w:jc w:val="both"/>
        <w:rPr>
          <w:rFonts w:ascii="Arial" w:hAnsi="Arial" w:cs="Arial"/>
          <w:bCs/>
          <w:kern w:val="28"/>
        </w:rPr>
      </w:pPr>
      <w:r>
        <w:rPr>
          <w:rFonts w:ascii="Arial" w:hAnsi="Arial" w:cs="Arial"/>
          <w:bCs/>
          <w:kern w:val="28"/>
        </w:rPr>
        <w:t xml:space="preserve">Nella media 2015-2016, il </w:t>
      </w:r>
      <w:r w:rsidR="007C4F10">
        <w:rPr>
          <w:rFonts w:ascii="Arial" w:hAnsi="Arial" w:cs="Arial"/>
          <w:bCs/>
          <w:kern w:val="28"/>
        </w:rPr>
        <w:t xml:space="preserve">54,9% dei giovani entrati per la prima volta nell’occupazione </w:t>
      </w:r>
      <w:r w:rsidR="00EB1E1B">
        <w:rPr>
          <w:rFonts w:ascii="Arial" w:hAnsi="Arial" w:cs="Arial"/>
          <w:bCs/>
          <w:kern w:val="28"/>
        </w:rPr>
        <w:t>ha</w:t>
      </w:r>
      <w:r w:rsidR="004B05D6" w:rsidRPr="004B05D6">
        <w:rPr>
          <w:rFonts w:ascii="Arial" w:hAnsi="Arial" w:cs="Arial"/>
          <w:bCs/>
          <w:kern w:val="28"/>
        </w:rPr>
        <w:t xml:space="preserve"> un rapporto di lavoro ancora attivo</w:t>
      </w:r>
      <w:r w:rsidR="007C4F10">
        <w:rPr>
          <w:rFonts w:ascii="Arial" w:hAnsi="Arial" w:cs="Arial"/>
          <w:bCs/>
          <w:kern w:val="28"/>
        </w:rPr>
        <w:t xml:space="preserve"> a un anno di distanza</w:t>
      </w:r>
      <w:r w:rsidR="004B05D6" w:rsidRPr="004B05D6">
        <w:rPr>
          <w:rFonts w:ascii="Arial" w:hAnsi="Arial" w:cs="Arial"/>
          <w:bCs/>
          <w:kern w:val="28"/>
        </w:rPr>
        <w:t xml:space="preserve">. </w:t>
      </w:r>
      <w:r w:rsidR="006D03D1">
        <w:rPr>
          <w:rFonts w:ascii="Arial" w:hAnsi="Arial" w:cs="Arial"/>
          <w:bCs/>
          <w:kern w:val="28"/>
        </w:rPr>
        <w:t xml:space="preserve">Il tasso di permanenza oscilla </w:t>
      </w:r>
      <w:r w:rsidR="00E83F6B">
        <w:rPr>
          <w:rFonts w:ascii="Arial" w:hAnsi="Arial" w:cs="Arial"/>
          <w:bCs/>
          <w:kern w:val="28"/>
        </w:rPr>
        <w:t xml:space="preserve">tra </w:t>
      </w:r>
      <w:r w:rsidR="006D03D1">
        <w:rPr>
          <w:rFonts w:ascii="Arial" w:hAnsi="Arial" w:cs="Arial"/>
          <w:bCs/>
          <w:kern w:val="28"/>
        </w:rPr>
        <w:t xml:space="preserve">il massimo del </w:t>
      </w:r>
      <w:r w:rsidR="006D03D1" w:rsidRPr="006D03D1">
        <w:rPr>
          <w:rFonts w:ascii="Arial" w:hAnsi="Arial" w:cs="Arial"/>
          <w:bCs/>
          <w:kern w:val="28"/>
        </w:rPr>
        <w:t xml:space="preserve">Nord-ovest </w:t>
      </w:r>
      <w:r w:rsidR="006D03D1">
        <w:rPr>
          <w:rFonts w:ascii="Arial" w:hAnsi="Arial" w:cs="Arial"/>
          <w:bCs/>
          <w:kern w:val="28"/>
        </w:rPr>
        <w:t xml:space="preserve">(60,5%) </w:t>
      </w:r>
      <w:r w:rsidR="00081403">
        <w:rPr>
          <w:rFonts w:ascii="Arial" w:hAnsi="Arial" w:cs="Arial"/>
          <w:bCs/>
          <w:kern w:val="28"/>
        </w:rPr>
        <w:t xml:space="preserve">e </w:t>
      </w:r>
      <w:r w:rsidR="006D03D1">
        <w:rPr>
          <w:rFonts w:ascii="Arial" w:hAnsi="Arial" w:cs="Arial"/>
          <w:bCs/>
          <w:kern w:val="28"/>
        </w:rPr>
        <w:t xml:space="preserve">il minimo </w:t>
      </w:r>
      <w:r w:rsidR="006D03D1" w:rsidRPr="006D03D1">
        <w:rPr>
          <w:rFonts w:ascii="Arial" w:hAnsi="Arial" w:cs="Arial"/>
          <w:bCs/>
          <w:kern w:val="28"/>
        </w:rPr>
        <w:t>del Mezzogiorno</w:t>
      </w:r>
      <w:r w:rsidR="006D03D1">
        <w:rPr>
          <w:rFonts w:ascii="Arial" w:hAnsi="Arial" w:cs="Arial"/>
          <w:bCs/>
          <w:kern w:val="28"/>
        </w:rPr>
        <w:t xml:space="preserve"> (</w:t>
      </w:r>
      <w:r w:rsidR="006D03D1" w:rsidRPr="006D03D1">
        <w:rPr>
          <w:rFonts w:ascii="Arial" w:hAnsi="Arial" w:cs="Arial"/>
          <w:bCs/>
          <w:kern w:val="28"/>
        </w:rPr>
        <w:t>48,7%</w:t>
      </w:r>
      <w:r w:rsidR="006D03D1">
        <w:rPr>
          <w:rFonts w:ascii="Arial" w:hAnsi="Arial" w:cs="Arial"/>
          <w:bCs/>
          <w:kern w:val="28"/>
        </w:rPr>
        <w:t>)</w:t>
      </w:r>
      <w:r w:rsidR="00081403">
        <w:rPr>
          <w:rFonts w:ascii="Arial" w:hAnsi="Arial" w:cs="Arial"/>
          <w:bCs/>
          <w:kern w:val="28"/>
        </w:rPr>
        <w:t>.</w:t>
      </w:r>
      <w:r w:rsidR="001C05CB">
        <w:rPr>
          <w:rFonts w:ascii="Arial" w:hAnsi="Arial" w:cs="Arial"/>
          <w:bCs/>
          <w:kern w:val="28"/>
        </w:rPr>
        <w:t xml:space="preserve"> </w:t>
      </w:r>
      <w:r w:rsidR="00081403">
        <w:rPr>
          <w:rFonts w:ascii="Arial" w:hAnsi="Arial" w:cs="Arial"/>
          <w:bCs/>
          <w:kern w:val="28"/>
        </w:rPr>
        <w:t>I</w:t>
      </w:r>
      <w:r w:rsidR="001C05CB">
        <w:rPr>
          <w:rFonts w:ascii="Arial" w:hAnsi="Arial" w:cs="Arial"/>
          <w:bCs/>
          <w:kern w:val="28"/>
        </w:rPr>
        <w:t>n termini di competenze</w:t>
      </w:r>
      <w:r w:rsidR="00245C93">
        <w:rPr>
          <w:rFonts w:ascii="Arial" w:hAnsi="Arial" w:cs="Arial"/>
          <w:bCs/>
          <w:kern w:val="28"/>
        </w:rPr>
        <w:t xml:space="preserve">, se analizziamo soltanto il 2016, </w:t>
      </w:r>
      <w:r w:rsidR="001C05CB">
        <w:rPr>
          <w:rFonts w:ascii="Arial" w:hAnsi="Arial" w:cs="Arial"/>
          <w:bCs/>
          <w:kern w:val="28"/>
        </w:rPr>
        <w:t>la probabilità di avere ancora un rapporto attivo è minore per le professioni non qualificate (45,6%) e più elevata per quelle che richiedono un livello di competenza medio-alto (66,6%).</w:t>
      </w:r>
    </w:p>
    <w:p w:rsidR="00FE7E30" w:rsidRDefault="001C05CB" w:rsidP="00FE7E30">
      <w:pPr>
        <w:pStyle w:val="Testonormale"/>
        <w:numPr>
          <w:ilvl w:val="0"/>
          <w:numId w:val="1"/>
        </w:numPr>
        <w:spacing w:after="120"/>
        <w:jc w:val="both"/>
        <w:rPr>
          <w:rFonts w:ascii="Arial" w:hAnsi="Arial" w:cs="Arial"/>
          <w:bCs/>
          <w:kern w:val="28"/>
        </w:rPr>
      </w:pPr>
      <w:r>
        <w:rPr>
          <w:rFonts w:ascii="Arial" w:hAnsi="Arial" w:cs="Arial"/>
          <w:bCs/>
          <w:kern w:val="28"/>
        </w:rPr>
        <w:t xml:space="preserve">La probabilità di </w:t>
      </w:r>
      <w:r w:rsidRPr="00FC7C09">
        <w:rPr>
          <w:rFonts w:ascii="Arial" w:hAnsi="Arial" w:cs="Arial"/>
          <w:bCs/>
          <w:kern w:val="28"/>
        </w:rPr>
        <w:t>transitare in un rapporto stabile</w:t>
      </w:r>
      <w:r>
        <w:rPr>
          <w:rFonts w:ascii="Arial" w:hAnsi="Arial" w:cs="Arial"/>
          <w:bCs/>
          <w:kern w:val="28"/>
        </w:rPr>
        <w:t>, per i giovani con primo lavoro a termine nel 2015, è del 38,8% a sei mesi di distanza, 42,8% dopo un anno e 49,5% passati due anni.</w:t>
      </w:r>
      <w:r w:rsidRPr="00FC7C09">
        <w:rPr>
          <w:rFonts w:ascii="Arial" w:hAnsi="Arial" w:cs="Arial"/>
          <w:bCs/>
          <w:kern w:val="28"/>
        </w:rPr>
        <w:t xml:space="preserve"> </w:t>
      </w:r>
      <w:r w:rsidR="004B05D6" w:rsidRPr="00FC7C09">
        <w:rPr>
          <w:rFonts w:ascii="Arial" w:hAnsi="Arial" w:cs="Arial"/>
          <w:bCs/>
          <w:kern w:val="28"/>
        </w:rPr>
        <w:t>Nelle traiettorie lavorative dei giovani accedere alla prima occupazione con u</w:t>
      </w:r>
      <w:r>
        <w:rPr>
          <w:rFonts w:ascii="Arial" w:hAnsi="Arial" w:cs="Arial"/>
          <w:bCs/>
          <w:kern w:val="28"/>
        </w:rPr>
        <w:t>n contratto in somministrazione</w:t>
      </w:r>
      <w:r w:rsidR="004B05D6" w:rsidRPr="00FC7C09">
        <w:rPr>
          <w:rFonts w:ascii="Arial" w:hAnsi="Arial" w:cs="Arial"/>
          <w:bCs/>
          <w:kern w:val="28"/>
        </w:rPr>
        <w:t xml:space="preserve"> comporta una probabilità di quasi 12,5 punti percentuali superiore rispetto a chi vi accede con un contratto a tempo determinato. </w:t>
      </w:r>
    </w:p>
    <w:p w:rsidR="00081403" w:rsidRPr="00516302" w:rsidRDefault="00081403" w:rsidP="00516302">
      <w:pPr>
        <w:pStyle w:val="Testonormale"/>
        <w:spacing w:after="120"/>
        <w:ind w:left="360"/>
        <w:jc w:val="both"/>
        <w:rPr>
          <w:rFonts w:ascii="Arial" w:hAnsi="Arial" w:cs="Arial"/>
          <w:bCs/>
          <w:kern w:val="28"/>
          <w:sz w:val="8"/>
          <w:szCs w:val="8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9"/>
      </w:tblGrid>
      <w:tr w:rsidR="00FE7E30" w:rsidTr="00516302">
        <w:trPr>
          <w:trHeight w:val="332"/>
        </w:trPr>
        <w:tc>
          <w:tcPr>
            <w:tcW w:w="8509" w:type="dxa"/>
          </w:tcPr>
          <w:p w:rsidR="00FE7E30" w:rsidRPr="00516302" w:rsidRDefault="00AF2DC3" w:rsidP="00E60441">
            <w:pPr>
              <w:spacing w:after="120"/>
              <w:rPr>
                <w:rFonts w:ascii="Arial Narrow" w:hAnsi="Arial Narrow" w:cs="Arial"/>
                <w:b/>
                <w:bCs/>
                <w:kern w:val="28"/>
                <w:sz w:val="20"/>
                <w:szCs w:val="20"/>
              </w:rPr>
            </w:pPr>
            <w:r w:rsidRPr="00516302">
              <w:rPr>
                <w:rFonts w:ascii="Arial Narrow" w:hAnsi="Arial Narrow" w:cs="Arial"/>
                <w:b/>
                <w:bCs/>
                <w:kern w:val="28"/>
                <w:sz w:val="20"/>
                <w:szCs w:val="20"/>
              </w:rPr>
              <w:t>Primi ingressi di giovani 15-29 anni per tipologia</w:t>
            </w:r>
            <w:r w:rsidR="00647E25" w:rsidRPr="00516302">
              <w:rPr>
                <w:rFonts w:ascii="Arial Narrow" w:hAnsi="Arial Narrow" w:cs="Arial"/>
                <w:b/>
                <w:bCs/>
                <w:kern w:val="28"/>
                <w:sz w:val="20"/>
                <w:szCs w:val="20"/>
              </w:rPr>
              <w:t xml:space="preserve"> contrattuale</w:t>
            </w:r>
            <w:r w:rsidR="00FE7E30" w:rsidRPr="00516302">
              <w:rPr>
                <w:rFonts w:ascii="Arial Narrow" w:hAnsi="Arial Narrow" w:cs="Arial"/>
                <w:b/>
                <w:bCs/>
                <w:kern w:val="28"/>
                <w:sz w:val="20"/>
                <w:szCs w:val="20"/>
              </w:rPr>
              <w:t>. Anni 20</w:t>
            </w:r>
            <w:r w:rsidRPr="00516302">
              <w:rPr>
                <w:rFonts w:ascii="Arial Narrow" w:hAnsi="Arial Narrow" w:cs="Arial"/>
                <w:b/>
                <w:bCs/>
                <w:kern w:val="28"/>
                <w:sz w:val="20"/>
                <w:szCs w:val="20"/>
              </w:rPr>
              <w:t>15-</w:t>
            </w:r>
            <w:r w:rsidR="00FE7E30" w:rsidRPr="00516302">
              <w:rPr>
                <w:rFonts w:ascii="Arial Narrow" w:hAnsi="Arial Narrow" w:cs="Arial"/>
                <w:b/>
                <w:bCs/>
                <w:kern w:val="28"/>
                <w:sz w:val="20"/>
                <w:szCs w:val="20"/>
              </w:rPr>
              <w:t>201</w:t>
            </w:r>
            <w:r w:rsidR="001C05CB" w:rsidRPr="00516302">
              <w:rPr>
                <w:rFonts w:ascii="Arial Narrow" w:hAnsi="Arial Narrow" w:cs="Arial"/>
                <w:b/>
                <w:bCs/>
                <w:kern w:val="28"/>
                <w:sz w:val="20"/>
                <w:szCs w:val="20"/>
              </w:rPr>
              <w:t>7</w:t>
            </w:r>
            <w:r w:rsidR="00647E25" w:rsidRPr="00516302">
              <w:rPr>
                <w:rFonts w:ascii="Arial Narrow" w:hAnsi="Arial Narrow" w:cs="Arial"/>
                <w:b/>
                <w:bCs/>
                <w:kern w:val="28"/>
                <w:sz w:val="20"/>
                <w:szCs w:val="20"/>
              </w:rPr>
              <w:t xml:space="preserve"> </w:t>
            </w:r>
            <w:r w:rsidR="00E60441" w:rsidRPr="00A34343">
              <w:rPr>
                <w:rFonts w:ascii="Arial Narrow" w:hAnsi="Arial Narrow" w:cs="Arial"/>
                <w:bCs/>
                <w:kern w:val="28"/>
                <w:sz w:val="19"/>
                <w:szCs w:val="19"/>
              </w:rPr>
              <w:t>(</w:t>
            </w:r>
            <w:r w:rsidR="00FE7E30" w:rsidRPr="00A34343">
              <w:rPr>
                <w:rFonts w:ascii="Arial Narrow" w:hAnsi="Arial Narrow" w:cs="Arial"/>
                <w:bCs/>
                <w:kern w:val="28"/>
                <w:sz w:val="19"/>
                <w:szCs w:val="19"/>
              </w:rPr>
              <w:t xml:space="preserve">valori </w:t>
            </w:r>
            <w:r w:rsidRPr="00A34343">
              <w:rPr>
                <w:rFonts w:ascii="Arial Narrow" w:hAnsi="Arial Narrow" w:cs="Arial"/>
                <w:bCs/>
                <w:kern w:val="28"/>
                <w:sz w:val="19"/>
                <w:szCs w:val="19"/>
              </w:rPr>
              <w:t>percentuali</w:t>
            </w:r>
            <w:r w:rsidR="00E60441" w:rsidRPr="00A34343">
              <w:rPr>
                <w:rFonts w:ascii="Arial Narrow" w:hAnsi="Arial Narrow" w:cs="Arial"/>
                <w:bCs/>
                <w:kern w:val="28"/>
                <w:sz w:val="19"/>
                <w:szCs w:val="19"/>
              </w:rPr>
              <w:t>)</w:t>
            </w:r>
          </w:p>
        </w:tc>
      </w:tr>
      <w:tr w:rsidR="00FE7E30" w:rsidTr="00516302">
        <w:tblPrEx>
          <w:tblCellMar>
            <w:left w:w="70" w:type="dxa"/>
            <w:right w:w="70" w:type="dxa"/>
          </w:tblCellMar>
        </w:tblPrEx>
        <w:trPr>
          <w:trHeight w:val="3883"/>
        </w:trPr>
        <w:tc>
          <w:tcPr>
            <w:tcW w:w="8509" w:type="dxa"/>
          </w:tcPr>
          <w:p w:rsidR="00FE7E30" w:rsidRDefault="00AF2DC3" w:rsidP="00F03C8C">
            <w:pPr>
              <w:spacing w:after="160" w:line="259" w:lineRule="auto"/>
              <w:rPr>
                <w:rFonts w:ascii="Arial" w:hAnsi="Arial" w:cs="Arial"/>
                <w:b/>
                <w:bCs/>
                <w:kern w:val="28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EE13BF2" wp14:editId="01C58C9B">
                  <wp:extent cx="5195454" cy="2446317"/>
                  <wp:effectExtent l="0" t="0" r="5715" b="0"/>
                  <wp:docPr id="11" name="Grafico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  <w:p w:rsidR="00FE7E30" w:rsidRPr="006C3237" w:rsidRDefault="00FE7E30" w:rsidP="00F03C8C">
            <w:pPr>
              <w:spacing w:after="160" w:line="259" w:lineRule="auto"/>
              <w:rPr>
                <w:rFonts w:ascii="Arial Narrow" w:hAnsi="Arial Narrow" w:cs="Arial"/>
                <w:bCs/>
                <w:kern w:val="28"/>
                <w:sz w:val="15"/>
                <w:szCs w:val="15"/>
              </w:rPr>
            </w:pPr>
            <w:r w:rsidRPr="006C3237">
              <w:rPr>
                <w:rFonts w:ascii="Arial Narrow" w:hAnsi="Arial Narrow" w:cs="Arial"/>
                <w:bCs/>
                <w:kern w:val="28"/>
                <w:sz w:val="15"/>
                <w:szCs w:val="15"/>
              </w:rPr>
              <w:t xml:space="preserve">Fonte: </w:t>
            </w:r>
            <w:r w:rsidR="00AF2DC3" w:rsidRPr="00AF2DC3">
              <w:rPr>
                <w:rFonts w:ascii="Arial Narrow" w:hAnsi="Arial Narrow" w:cs="Arial"/>
                <w:bCs/>
                <w:kern w:val="28"/>
                <w:sz w:val="15"/>
                <w:szCs w:val="15"/>
              </w:rPr>
              <w:t>Elaborazioni su dati Ministero del lavoro e delle politiche sociali - Comunicazioni Obbligatorie</w:t>
            </w:r>
            <w:r w:rsidR="00AF2DC3">
              <w:rPr>
                <w:rFonts w:ascii="Arial Narrow" w:hAnsi="Arial Narrow" w:cs="Arial"/>
                <w:bCs/>
                <w:kern w:val="28"/>
                <w:sz w:val="15"/>
                <w:szCs w:val="15"/>
              </w:rPr>
              <w:t xml:space="preserve"> SISCO</w:t>
            </w:r>
          </w:p>
        </w:tc>
      </w:tr>
    </w:tbl>
    <w:p w:rsidR="00081403" w:rsidRPr="00516302" w:rsidRDefault="00081403" w:rsidP="00DE02CF">
      <w:pPr>
        <w:pStyle w:val="Testonormale"/>
        <w:spacing w:after="120"/>
        <w:jc w:val="both"/>
        <w:rPr>
          <w:rFonts w:ascii="Arial" w:hAnsi="Arial" w:cs="Arial"/>
          <w:b/>
          <w:bCs/>
          <w:kern w:val="28"/>
          <w:sz w:val="12"/>
          <w:szCs w:val="12"/>
        </w:rPr>
      </w:pPr>
    </w:p>
    <w:p w:rsidR="00DE02CF" w:rsidRDefault="00F928AC" w:rsidP="00DE02CF">
      <w:pPr>
        <w:pStyle w:val="Testonormale"/>
        <w:spacing w:after="120"/>
        <w:jc w:val="both"/>
        <w:rPr>
          <w:rFonts w:ascii="Arial" w:hAnsi="Arial" w:cs="Arial"/>
          <w:b/>
          <w:bCs/>
          <w:kern w:val="28"/>
          <w:sz w:val="22"/>
          <w:szCs w:val="22"/>
        </w:rPr>
      </w:pPr>
      <w:r w:rsidRPr="004332A1">
        <w:rPr>
          <w:rFonts w:ascii="Arial" w:hAnsi="Arial" w:cs="Arial"/>
          <w:b/>
          <w:bCs/>
          <w:kern w:val="28"/>
          <w:sz w:val="22"/>
          <w:szCs w:val="22"/>
        </w:rPr>
        <w:lastRenderedPageBreak/>
        <w:t>Capitolo</w:t>
      </w:r>
      <w:bookmarkStart w:id="0" w:name="_GoBack"/>
      <w:bookmarkEnd w:id="0"/>
      <w:r w:rsidRPr="004332A1">
        <w:rPr>
          <w:rFonts w:ascii="Arial" w:hAnsi="Arial" w:cs="Arial"/>
          <w:b/>
          <w:bCs/>
          <w:kern w:val="28"/>
          <w:sz w:val="22"/>
          <w:szCs w:val="22"/>
        </w:rPr>
        <w:t xml:space="preserve"> </w:t>
      </w:r>
      <w:r w:rsidR="00DE02CF" w:rsidRPr="004332A1">
        <w:rPr>
          <w:rFonts w:ascii="Arial" w:hAnsi="Arial" w:cs="Arial"/>
          <w:b/>
          <w:bCs/>
          <w:kern w:val="28"/>
          <w:sz w:val="22"/>
          <w:szCs w:val="22"/>
        </w:rPr>
        <w:t>7</w:t>
      </w:r>
      <w:r w:rsidRPr="004332A1">
        <w:rPr>
          <w:rFonts w:ascii="Arial" w:hAnsi="Arial" w:cs="Arial"/>
          <w:b/>
          <w:bCs/>
          <w:kern w:val="28"/>
          <w:sz w:val="22"/>
          <w:szCs w:val="22"/>
        </w:rPr>
        <w:t xml:space="preserve">. </w:t>
      </w:r>
      <w:r w:rsidR="00DE02CF" w:rsidRPr="004332A1">
        <w:rPr>
          <w:rFonts w:ascii="Arial" w:hAnsi="Arial" w:cs="Arial"/>
          <w:b/>
          <w:bCs/>
          <w:kern w:val="28"/>
          <w:sz w:val="22"/>
          <w:szCs w:val="22"/>
        </w:rPr>
        <w:t>Lavoro e salute: infortuni sul lavoro e malattie professionali nell’ultimo quinquennio</w:t>
      </w:r>
      <w:r w:rsidR="00DE02CF" w:rsidRPr="00DE02CF">
        <w:rPr>
          <w:rFonts w:ascii="Arial" w:hAnsi="Arial" w:cs="Arial"/>
          <w:b/>
          <w:bCs/>
          <w:kern w:val="28"/>
          <w:sz w:val="22"/>
          <w:szCs w:val="22"/>
        </w:rPr>
        <w:t xml:space="preserve"> </w:t>
      </w:r>
    </w:p>
    <w:p w:rsidR="002B3746" w:rsidRDefault="00DE02CF" w:rsidP="00DE02CF">
      <w:pPr>
        <w:pStyle w:val="Testonormale"/>
        <w:numPr>
          <w:ilvl w:val="0"/>
          <w:numId w:val="1"/>
        </w:numPr>
        <w:spacing w:after="120"/>
        <w:jc w:val="both"/>
        <w:rPr>
          <w:rFonts w:ascii="Arial" w:hAnsi="Arial" w:cs="Arial"/>
          <w:bCs/>
          <w:kern w:val="28"/>
        </w:rPr>
      </w:pPr>
      <w:r>
        <w:rPr>
          <w:rFonts w:ascii="Arial" w:hAnsi="Arial" w:cs="Arial"/>
          <w:bCs/>
          <w:kern w:val="28"/>
        </w:rPr>
        <w:t>N</w:t>
      </w:r>
      <w:r w:rsidRPr="00DE02CF">
        <w:rPr>
          <w:rFonts w:ascii="Arial" w:hAnsi="Arial" w:cs="Arial"/>
          <w:bCs/>
          <w:kern w:val="28"/>
        </w:rPr>
        <w:t>el 2017</w:t>
      </w:r>
      <w:r>
        <w:rPr>
          <w:rFonts w:ascii="Arial" w:hAnsi="Arial" w:cs="Arial"/>
          <w:bCs/>
          <w:kern w:val="28"/>
        </w:rPr>
        <w:t xml:space="preserve"> g</w:t>
      </w:r>
      <w:r w:rsidRPr="00DE02CF">
        <w:rPr>
          <w:rFonts w:ascii="Arial" w:hAnsi="Arial" w:cs="Arial"/>
          <w:bCs/>
          <w:kern w:val="28"/>
        </w:rPr>
        <w:t>li infortuni sul lavoro accaduti e denunciati all’Inail</w:t>
      </w:r>
      <w:r>
        <w:rPr>
          <w:rFonts w:ascii="Arial" w:hAnsi="Arial" w:cs="Arial"/>
          <w:bCs/>
          <w:kern w:val="28"/>
        </w:rPr>
        <w:t xml:space="preserve"> </w:t>
      </w:r>
      <w:r w:rsidRPr="00DE02CF">
        <w:rPr>
          <w:rFonts w:ascii="Arial" w:hAnsi="Arial" w:cs="Arial"/>
          <w:bCs/>
          <w:kern w:val="28"/>
        </w:rPr>
        <w:t>sono stati 561 mila, in media 1.536 al giorno, in sostanziale stabilità rispetto al 2016 (</w:t>
      </w:r>
      <w:r w:rsidR="002B3746">
        <w:rPr>
          <w:rFonts w:ascii="Arial" w:hAnsi="Arial" w:cs="Arial"/>
          <w:bCs/>
          <w:kern w:val="28"/>
        </w:rPr>
        <w:t>210 denunce in meno)</w:t>
      </w:r>
      <w:r w:rsidRPr="00DE02CF">
        <w:rPr>
          <w:rFonts w:ascii="Arial" w:hAnsi="Arial" w:cs="Arial"/>
          <w:bCs/>
          <w:kern w:val="28"/>
        </w:rPr>
        <w:t xml:space="preserve">. </w:t>
      </w:r>
      <w:r w:rsidR="002B3746" w:rsidRPr="00DE02CF">
        <w:rPr>
          <w:rFonts w:ascii="Arial" w:hAnsi="Arial" w:cs="Arial"/>
          <w:bCs/>
          <w:kern w:val="28"/>
        </w:rPr>
        <w:t>Gli infortuni riconosciuti sul lavoro sono più di 379 mila, di cui qua</w:t>
      </w:r>
      <w:r w:rsidR="002B3746">
        <w:rPr>
          <w:rFonts w:ascii="Arial" w:hAnsi="Arial" w:cs="Arial"/>
          <w:bCs/>
          <w:kern w:val="28"/>
        </w:rPr>
        <w:t>si il 22% “fuori dell’azienda”</w:t>
      </w:r>
      <w:r w:rsidR="002B3746" w:rsidRPr="00DE02CF">
        <w:rPr>
          <w:rFonts w:ascii="Arial" w:hAnsi="Arial" w:cs="Arial"/>
          <w:bCs/>
          <w:kern w:val="28"/>
        </w:rPr>
        <w:t>.</w:t>
      </w:r>
    </w:p>
    <w:p w:rsidR="00DE02CF" w:rsidRDefault="00081403" w:rsidP="00DE02CF">
      <w:pPr>
        <w:pStyle w:val="Testonormale"/>
        <w:numPr>
          <w:ilvl w:val="0"/>
          <w:numId w:val="1"/>
        </w:numPr>
        <w:spacing w:after="120"/>
        <w:jc w:val="both"/>
        <w:rPr>
          <w:rFonts w:ascii="Arial" w:hAnsi="Arial" w:cs="Arial"/>
          <w:bCs/>
          <w:kern w:val="28"/>
        </w:rPr>
      </w:pPr>
      <w:r>
        <w:rPr>
          <w:rFonts w:ascii="Arial" w:hAnsi="Arial" w:cs="Arial"/>
          <w:bCs/>
          <w:kern w:val="28"/>
        </w:rPr>
        <w:t>R</w:t>
      </w:r>
      <w:r w:rsidR="00DE02CF" w:rsidRPr="00DE02CF">
        <w:rPr>
          <w:rFonts w:ascii="Arial" w:hAnsi="Arial" w:cs="Arial"/>
          <w:bCs/>
          <w:kern w:val="28"/>
        </w:rPr>
        <w:t>ispetto al 2008</w:t>
      </w:r>
      <w:r w:rsidR="00857FDF">
        <w:rPr>
          <w:rFonts w:ascii="Arial" w:hAnsi="Arial" w:cs="Arial"/>
          <w:bCs/>
          <w:kern w:val="28"/>
        </w:rPr>
        <w:t>,</w:t>
      </w:r>
      <w:r w:rsidR="00DE02CF" w:rsidRPr="00DE02CF">
        <w:rPr>
          <w:rFonts w:ascii="Arial" w:hAnsi="Arial" w:cs="Arial"/>
          <w:bCs/>
          <w:kern w:val="28"/>
        </w:rPr>
        <w:t xml:space="preserve"> la diminuzione </w:t>
      </w:r>
      <w:r w:rsidR="00BC2639">
        <w:rPr>
          <w:rFonts w:ascii="Arial" w:hAnsi="Arial" w:cs="Arial"/>
          <w:bCs/>
          <w:kern w:val="28"/>
        </w:rPr>
        <w:t xml:space="preserve">delle denunce </w:t>
      </w:r>
      <w:r w:rsidR="00DE02CF" w:rsidRPr="00DE02CF">
        <w:rPr>
          <w:rFonts w:ascii="Arial" w:hAnsi="Arial" w:cs="Arial"/>
          <w:bCs/>
          <w:kern w:val="28"/>
        </w:rPr>
        <w:t>è stata del 35,7%</w:t>
      </w:r>
      <w:r>
        <w:rPr>
          <w:rFonts w:ascii="Arial" w:hAnsi="Arial" w:cs="Arial"/>
          <w:bCs/>
          <w:kern w:val="28"/>
        </w:rPr>
        <w:t>,</w:t>
      </w:r>
      <w:r w:rsidR="00DE02CF" w:rsidRPr="00DE02CF">
        <w:rPr>
          <w:rFonts w:ascii="Arial" w:hAnsi="Arial" w:cs="Arial"/>
          <w:bCs/>
          <w:kern w:val="28"/>
        </w:rPr>
        <w:t xml:space="preserve"> con 300 mila casi in meno</w:t>
      </w:r>
      <w:r>
        <w:rPr>
          <w:rFonts w:ascii="Arial" w:hAnsi="Arial" w:cs="Arial"/>
          <w:bCs/>
          <w:kern w:val="28"/>
        </w:rPr>
        <w:t>.</w:t>
      </w:r>
      <w:r w:rsidR="00DE02CF" w:rsidRPr="00DE02CF">
        <w:rPr>
          <w:rFonts w:ascii="Arial" w:hAnsi="Arial" w:cs="Arial"/>
          <w:bCs/>
          <w:kern w:val="28"/>
        </w:rPr>
        <w:t xml:space="preserve"> </w:t>
      </w:r>
      <w:r>
        <w:rPr>
          <w:rFonts w:ascii="Arial" w:hAnsi="Arial" w:cs="Arial"/>
          <w:bCs/>
          <w:kern w:val="28"/>
        </w:rPr>
        <w:t>D</w:t>
      </w:r>
      <w:r w:rsidR="00DE02CF" w:rsidRPr="00DE02CF">
        <w:rPr>
          <w:rFonts w:ascii="Arial" w:hAnsi="Arial" w:cs="Arial"/>
          <w:bCs/>
          <w:kern w:val="28"/>
        </w:rPr>
        <w:t xml:space="preserve">ai primi anni 2000, quando erano oltre 1 milione, le denunce di infortunio si sono quindi ridotte di quasi la metà.  </w:t>
      </w:r>
    </w:p>
    <w:p w:rsidR="00D04376" w:rsidRDefault="00D04376" w:rsidP="00D04376">
      <w:pPr>
        <w:pStyle w:val="Testonormale"/>
        <w:numPr>
          <w:ilvl w:val="0"/>
          <w:numId w:val="1"/>
        </w:numPr>
        <w:spacing w:after="120"/>
        <w:jc w:val="both"/>
        <w:rPr>
          <w:rFonts w:ascii="Arial" w:hAnsi="Arial" w:cs="Arial"/>
          <w:bCs/>
          <w:kern w:val="28"/>
        </w:rPr>
      </w:pPr>
      <w:r w:rsidRPr="00D04376">
        <w:rPr>
          <w:rFonts w:ascii="Arial" w:hAnsi="Arial" w:cs="Arial"/>
          <w:bCs/>
          <w:kern w:val="28"/>
        </w:rPr>
        <w:t xml:space="preserve">Le denunce con esito mortale sono state 1.135, poco più di 3 al giorno, confermando il dato del 2016; la riduzione rispetto al 2008 è stata del 29,7% (479 in meno rispetto alle 1.614 di dieci anni </w:t>
      </w:r>
      <w:r w:rsidR="00857FDF">
        <w:rPr>
          <w:rFonts w:ascii="Arial" w:hAnsi="Arial" w:cs="Arial"/>
          <w:bCs/>
          <w:kern w:val="28"/>
        </w:rPr>
        <w:t>fa</w:t>
      </w:r>
      <w:r w:rsidRPr="00D04376">
        <w:rPr>
          <w:rFonts w:ascii="Arial" w:hAnsi="Arial" w:cs="Arial"/>
          <w:bCs/>
          <w:kern w:val="28"/>
        </w:rPr>
        <w:t xml:space="preserve">). </w:t>
      </w:r>
    </w:p>
    <w:p w:rsidR="00486934" w:rsidRDefault="00D04376" w:rsidP="00D04376">
      <w:pPr>
        <w:pStyle w:val="Testonormale"/>
        <w:numPr>
          <w:ilvl w:val="0"/>
          <w:numId w:val="1"/>
        </w:numPr>
        <w:spacing w:after="120"/>
        <w:jc w:val="both"/>
        <w:rPr>
          <w:rFonts w:ascii="Arial" w:hAnsi="Arial" w:cs="Arial"/>
          <w:bCs/>
          <w:kern w:val="28"/>
        </w:rPr>
      </w:pPr>
      <w:r>
        <w:rPr>
          <w:rFonts w:ascii="Arial" w:hAnsi="Arial" w:cs="Arial"/>
          <w:bCs/>
          <w:kern w:val="28"/>
        </w:rPr>
        <w:t>I</w:t>
      </w:r>
      <w:r w:rsidRPr="00D04376">
        <w:rPr>
          <w:rFonts w:ascii="Arial" w:hAnsi="Arial" w:cs="Arial"/>
          <w:bCs/>
          <w:kern w:val="28"/>
        </w:rPr>
        <w:t xml:space="preserve"> primi </w:t>
      </w:r>
      <w:r w:rsidR="00E83F6B">
        <w:rPr>
          <w:rFonts w:ascii="Arial" w:hAnsi="Arial" w:cs="Arial"/>
          <w:bCs/>
          <w:kern w:val="28"/>
        </w:rPr>
        <w:t xml:space="preserve">dati </w:t>
      </w:r>
      <w:r>
        <w:rPr>
          <w:rFonts w:ascii="Arial" w:hAnsi="Arial" w:cs="Arial"/>
          <w:bCs/>
          <w:kern w:val="28"/>
        </w:rPr>
        <w:t xml:space="preserve">provvisori </w:t>
      </w:r>
      <w:r w:rsidRPr="00D04376">
        <w:rPr>
          <w:rFonts w:ascii="Arial" w:hAnsi="Arial" w:cs="Arial"/>
          <w:bCs/>
          <w:kern w:val="28"/>
        </w:rPr>
        <w:t xml:space="preserve">per il 2018 registrano rispetto all’anno precedente un aumento delle denunce in complesso (+0,9%) e, più significativamente, dei casi mortali </w:t>
      </w:r>
      <w:r w:rsidR="00BC2639">
        <w:rPr>
          <w:rFonts w:ascii="Arial" w:hAnsi="Arial" w:cs="Arial"/>
          <w:bCs/>
          <w:kern w:val="28"/>
        </w:rPr>
        <w:t>(+10,1%, pari a</w:t>
      </w:r>
      <w:r w:rsidRPr="00D04376">
        <w:rPr>
          <w:rFonts w:ascii="Arial" w:hAnsi="Arial" w:cs="Arial"/>
          <w:bCs/>
          <w:kern w:val="28"/>
        </w:rPr>
        <w:t xml:space="preserve"> 104 denunce in più</w:t>
      </w:r>
      <w:r w:rsidR="00BC2639">
        <w:rPr>
          <w:rFonts w:ascii="Arial" w:hAnsi="Arial" w:cs="Arial"/>
          <w:bCs/>
          <w:kern w:val="28"/>
        </w:rPr>
        <w:t>)</w:t>
      </w:r>
      <w:r w:rsidRPr="00D04376">
        <w:rPr>
          <w:rFonts w:ascii="Arial" w:hAnsi="Arial" w:cs="Arial"/>
          <w:bCs/>
          <w:kern w:val="28"/>
        </w:rPr>
        <w:t xml:space="preserve">. </w:t>
      </w:r>
    </w:p>
    <w:p w:rsidR="00D04376" w:rsidRDefault="00BC2639" w:rsidP="00D04376">
      <w:pPr>
        <w:pStyle w:val="Testonormale"/>
        <w:numPr>
          <w:ilvl w:val="0"/>
          <w:numId w:val="1"/>
        </w:numPr>
        <w:spacing w:after="120"/>
        <w:jc w:val="both"/>
        <w:rPr>
          <w:rFonts w:ascii="Arial" w:hAnsi="Arial" w:cs="Arial"/>
          <w:bCs/>
          <w:kern w:val="28"/>
        </w:rPr>
      </w:pPr>
      <w:r>
        <w:rPr>
          <w:rFonts w:ascii="Arial" w:hAnsi="Arial" w:cs="Arial"/>
          <w:bCs/>
          <w:kern w:val="28"/>
        </w:rPr>
        <w:t>Nel</w:t>
      </w:r>
      <w:r w:rsidR="00D04376" w:rsidRPr="00D04376">
        <w:rPr>
          <w:rFonts w:ascii="Arial" w:hAnsi="Arial" w:cs="Arial"/>
          <w:bCs/>
          <w:kern w:val="28"/>
        </w:rPr>
        <w:t xml:space="preserve"> 2018 </w:t>
      </w:r>
      <w:r>
        <w:rPr>
          <w:rFonts w:ascii="Arial" w:hAnsi="Arial" w:cs="Arial"/>
          <w:bCs/>
          <w:kern w:val="28"/>
        </w:rPr>
        <w:t xml:space="preserve">i decessi </w:t>
      </w:r>
      <w:r w:rsidR="00D04376" w:rsidRPr="00D04376">
        <w:rPr>
          <w:rFonts w:ascii="Arial" w:hAnsi="Arial" w:cs="Arial"/>
          <w:bCs/>
          <w:kern w:val="28"/>
        </w:rPr>
        <w:t xml:space="preserve">hanno risentito di un più elevato numero </w:t>
      </w:r>
      <w:r w:rsidR="00D04376">
        <w:rPr>
          <w:rFonts w:ascii="Arial" w:hAnsi="Arial" w:cs="Arial"/>
          <w:bCs/>
          <w:kern w:val="28"/>
        </w:rPr>
        <w:t>di</w:t>
      </w:r>
      <w:r w:rsidR="00D04376" w:rsidRPr="00D04376">
        <w:rPr>
          <w:rFonts w:ascii="Arial" w:hAnsi="Arial" w:cs="Arial"/>
          <w:bCs/>
          <w:kern w:val="28"/>
        </w:rPr>
        <w:t xml:space="preserve"> incidenti “plurimi</w:t>
      </w:r>
      <w:r w:rsidR="004332A1">
        <w:rPr>
          <w:rFonts w:ascii="Arial" w:hAnsi="Arial" w:cs="Arial"/>
          <w:bCs/>
          <w:kern w:val="28"/>
        </w:rPr>
        <w:t>”</w:t>
      </w:r>
      <w:r w:rsidR="00081403">
        <w:rPr>
          <w:rFonts w:ascii="Arial" w:hAnsi="Arial" w:cs="Arial"/>
          <w:bCs/>
          <w:kern w:val="28"/>
        </w:rPr>
        <w:t>.</w:t>
      </w:r>
      <w:r w:rsidR="00D04376" w:rsidRPr="00D04376">
        <w:rPr>
          <w:rFonts w:ascii="Arial" w:hAnsi="Arial" w:cs="Arial"/>
          <w:bCs/>
          <w:kern w:val="28"/>
        </w:rPr>
        <w:t xml:space="preserve"> </w:t>
      </w:r>
      <w:r w:rsidR="00081403">
        <w:rPr>
          <w:rFonts w:ascii="Arial" w:hAnsi="Arial" w:cs="Arial"/>
          <w:bCs/>
          <w:kern w:val="28"/>
        </w:rPr>
        <w:t>T</w:t>
      </w:r>
      <w:r w:rsidR="00D04376" w:rsidRPr="00D04376">
        <w:rPr>
          <w:rFonts w:ascii="Arial" w:hAnsi="Arial" w:cs="Arial"/>
          <w:bCs/>
          <w:kern w:val="28"/>
        </w:rPr>
        <w:t>ra quelli più tragici si ricordano, in particolare, il crollo del ponte Morandi a Genova, con 15 denunce di casi mortali</w:t>
      </w:r>
      <w:r w:rsidR="00081403">
        <w:rPr>
          <w:rFonts w:ascii="Arial" w:hAnsi="Arial" w:cs="Arial"/>
          <w:bCs/>
          <w:kern w:val="28"/>
        </w:rPr>
        <w:t>,</w:t>
      </w:r>
      <w:r w:rsidR="00D04376" w:rsidRPr="00D04376">
        <w:rPr>
          <w:rFonts w:ascii="Arial" w:hAnsi="Arial" w:cs="Arial"/>
          <w:bCs/>
          <w:kern w:val="28"/>
        </w:rPr>
        <w:t xml:space="preserve"> e i due incidenti stradali a Lesina e Foggia in cui hanno perso la vita 16 braccianti.</w:t>
      </w:r>
    </w:p>
    <w:p w:rsidR="00DE02CF" w:rsidRDefault="00DE02CF" w:rsidP="00DE02CF">
      <w:pPr>
        <w:pStyle w:val="Testonormale"/>
        <w:numPr>
          <w:ilvl w:val="0"/>
          <w:numId w:val="1"/>
        </w:numPr>
        <w:spacing w:after="120"/>
        <w:jc w:val="both"/>
        <w:rPr>
          <w:rFonts w:ascii="Arial" w:hAnsi="Arial" w:cs="Arial"/>
          <w:bCs/>
          <w:kern w:val="28"/>
        </w:rPr>
      </w:pPr>
      <w:r w:rsidRPr="00DE02CF">
        <w:rPr>
          <w:rFonts w:ascii="Arial" w:hAnsi="Arial" w:cs="Arial"/>
          <w:bCs/>
          <w:kern w:val="28"/>
        </w:rPr>
        <w:t>Nel 2017 sono state 58</w:t>
      </w:r>
      <w:r w:rsidR="00B57A7F">
        <w:rPr>
          <w:rFonts w:ascii="Arial" w:hAnsi="Arial" w:cs="Arial"/>
          <w:bCs/>
          <w:kern w:val="28"/>
        </w:rPr>
        <w:t xml:space="preserve"> mila</w:t>
      </w:r>
      <w:r w:rsidRPr="00DE02CF">
        <w:rPr>
          <w:rFonts w:ascii="Arial" w:hAnsi="Arial" w:cs="Arial"/>
          <w:bCs/>
          <w:kern w:val="28"/>
        </w:rPr>
        <w:t xml:space="preserve"> le denunce di malattia professionale. Dopo oltre un decennio di crescita, per la prima volta si assiste a una battuta d’arresto</w:t>
      </w:r>
      <w:r w:rsidR="00081403">
        <w:rPr>
          <w:rFonts w:ascii="Arial" w:hAnsi="Arial" w:cs="Arial"/>
          <w:bCs/>
          <w:kern w:val="28"/>
        </w:rPr>
        <w:t>:</w:t>
      </w:r>
      <w:r w:rsidRPr="00DE02CF">
        <w:rPr>
          <w:rFonts w:ascii="Arial" w:hAnsi="Arial" w:cs="Arial"/>
          <w:bCs/>
          <w:kern w:val="28"/>
        </w:rPr>
        <w:t xml:space="preserve"> i casi diminu</w:t>
      </w:r>
      <w:r w:rsidR="00081403">
        <w:rPr>
          <w:rFonts w:ascii="Arial" w:hAnsi="Arial" w:cs="Arial"/>
          <w:bCs/>
          <w:kern w:val="28"/>
        </w:rPr>
        <w:t>iscono</w:t>
      </w:r>
      <w:r w:rsidRPr="00DE02CF">
        <w:rPr>
          <w:rFonts w:ascii="Arial" w:hAnsi="Arial" w:cs="Arial"/>
          <w:bCs/>
          <w:kern w:val="28"/>
        </w:rPr>
        <w:t xml:space="preserve"> del 3,7% rispetto al 2016</w:t>
      </w:r>
      <w:r w:rsidR="00081403">
        <w:rPr>
          <w:rFonts w:ascii="Arial" w:hAnsi="Arial" w:cs="Arial"/>
          <w:bCs/>
          <w:kern w:val="28"/>
        </w:rPr>
        <w:t>. Tuttavia,</w:t>
      </w:r>
      <w:r w:rsidR="00BC2639">
        <w:rPr>
          <w:rFonts w:ascii="Arial" w:hAnsi="Arial" w:cs="Arial"/>
          <w:bCs/>
          <w:kern w:val="28"/>
        </w:rPr>
        <w:t xml:space="preserve"> i primi dati provvisori del 2018 indicano una ripresa del fenomeno (+2,5% rispetto all’anno precedente).</w:t>
      </w:r>
      <w:r w:rsidRPr="00DE02CF">
        <w:rPr>
          <w:rFonts w:ascii="Arial" w:hAnsi="Arial" w:cs="Arial"/>
          <w:bCs/>
          <w:kern w:val="28"/>
        </w:rPr>
        <w:t xml:space="preserve"> </w:t>
      </w:r>
    </w:p>
    <w:p w:rsidR="001B0547" w:rsidRDefault="001B0547" w:rsidP="001B0547">
      <w:pPr>
        <w:pStyle w:val="Testonormale"/>
        <w:numPr>
          <w:ilvl w:val="0"/>
          <w:numId w:val="1"/>
        </w:numPr>
        <w:spacing w:after="120"/>
        <w:jc w:val="both"/>
        <w:rPr>
          <w:rFonts w:ascii="Arial" w:hAnsi="Arial" w:cs="Arial"/>
          <w:bCs/>
          <w:kern w:val="28"/>
        </w:rPr>
      </w:pPr>
      <w:r w:rsidRPr="00DE02CF">
        <w:rPr>
          <w:rFonts w:ascii="Arial" w:hAnsi="Arial" w:cs="Arial"/>
          <w:bCs/>
          <w:kern w:val="28"/>
        </w:rPr>
        <w:t xml:space="preserve">In </w:t>
      </w:r>
      <w:r w:rsidR="00B57A7F">
        <w:rPr>
          <w:rFonts w:ascii="Arial" w:hAnsi="Arial" w:cs="Arial"/>
          <w:bCs/>
          <w:kern w:val="28"/>
        </w:rPr>
        <w:t>particolare, rispetto</w:t>
      </w:r>
      <w:r w:rsidRPr="00DE02CF">
        <w:rPr>
          <w:rFonts w:ascii="Arial" w:hAnsi="Arial" w:cs="Arial"/>
          <w:bCs/>
          <w:kern w:val="28"/>
        </w:rPr>
        <w:t xml:space="preserve"> al 2008 </w:t>
      </w:r>
      <w:r w:rsidR="002C62FE">
        <w:rPr>
          <w:rFonts w:ascii="Arial" w:hAnsi="Arial" w:cs="Arial"/>
          <w:bCs/>
          <w:kern w:val="28"/>
        </w:rPr>
        <w:t>le denunce per malattie professionali crescono in misura</w:t>
      </w:r>
      <w:r w:rsidRPr="00DE02CF">
        <w:rPr>
          <w:rFonts w:ascii="Arial" w:hAnsi="Arial" w:cs="Arial"/>
          <w:bCs/>
          <w:kern w:val="28"/>
        </w:rPr>
        <w:t xml:space="preserve"> sostanziale (+89,7%), passando da poco più di 30 mila a 58 mila, </w:t>
      </w:r>
      <w:r>
        <w:rPr>
          <w:rFonts w:ascii="Arial" w:hAnsi="Arial" w:cs="Arial"/>
          <w:bCs/>
          <w:kern w:val="28"/>
        </w:rPr>
        <w:t xml:space="preserve">soprattutto </w:t>
      </w:r>
      <w:r w:rsidR="002C62FE">
        <w:rPr>
          <w:rFonts w:ascii="Arial" w:hAnsi="Arial" w:cs="Arial"/>
          <w:bCs/>
          <w:kern w:val="28"/>
        </w:rPr>
        <w:t>a seguito d</w:t>
      </w:r>
      <w:r>
        <w:rPr>
          <w:rFonts w:ascii="Arial" w:hAnsi="Arial" w:cs="Arial"/>
          <w:bCs/>
          <w:kern w:val="28"/>
        </w:rPr>
        <w:t xml:space="preserve">i </w:t>
      </w:r>
      <w:r w:rsidR="00B57A7F">
        <w:rPr>
          <w:rFonts w:ascii="Arial" w:hAnsi="Arial" w:cs="Arial"/>
          <w:bCs/>
          <w:kern w:val="28"/>
        </w:rPr>
        <w:t xml:space="preserve">interventi normativi e </w:t>
      </w:r>
      <w:r w:rsidR="002C62FE">
        <w:rPr>
          <w:rFonts w:ascii="Arial" w:hAnsi="Arial" w:cs="Arial"/>
          <w:bCs/>
          <w:kern w:val="28"/>
        </w:rPr>
        <w:t xml:space="preserve">campagne </w:t>
      </w:r>
      <w:r w:rsidR="00B57A7F">
        <w:rPr>
          <w:rFonts w:ascii="Arial" w:hAnsi="Arial" w:cs="Arial"/>
          <w:bCs/>
          <w:kern w:val="28"/>
        </w:rPr>
        <w:t xml:space="preserve">di sensibilizzazione e </w:t>
      </w:r>
      <w:r w:rsidR="002C62FE">
        <w:rPr>
          <w:rFonts w:ascii="Arial" w:hAnsi="Arial" w:cs="Arial"/>
          <w:bCs/>
          <w:kern w:val="28"/>
        </w:rPr>
        <w:t xml:space="preserve">informative  che </w:t>
      </w:r>
      <w:r w:rsidR="00DF2064">
        <w:rPr>
          <w:rFonts w:ascii="Arial" w:hAnsi="Arial" w:cs="Arial"/>
          <w:bCs/>
          <w:kern w:val="28"/>
        </w:rPr>
        <w:t xml:space="preserve">ne </w:t>
      </w:r>
      <w:r w:rsidR="002C62FE">
        <w:rPr>
          <w:rFonts w:ascii="Arial" w:hAnsi="Arial" w:cs="Arial"/>
          <w:bCs/>
          <w:kern w:val="28"/>
        </w:rPr>
        <w:t>hanno favorito il riconoscimento</w:t>
      </w:r>
      <w:r w:rsidR="00DF2064">
        <w:rPr>
          <w:rFonts w:ascii="Arial" w:hAnsi="Arial" w:cs="Arial"/>
          <w:bCs/>
          <w:kern w:val="28"/>
        </w:rPr>
        <w:t xml:space="preserve">. </w:t>
      </w:r>
      <w:r w:rsidRPr="00DE02CF">
        <w:rPr>
          <w:rFonts w:ascii="Arial" w:hAnsi="Arial" w:cs="Arial"/>
          <w:bCs/>
          <w:kern w:val="28"/>
        </w:rPr>
        <w:t xml:space="preserve"> </w:t>
      </w:r>
    </w:p>
    <w:p w:rsidR="00DE02CF" w:rsidRDefault="00DE02CF" w:rsidP="00DE02CF">
      <w:pPr>
        <w:pStyle w:val="Testonormale"/>
        <w:numPr>
          <w:ilvl w:val="0"/>
          <w:numId w:val="1"/>
        </w:numPr>
        <w:spacing w:after="120"/>
        <w:jc w:val="both"/>
        <w:rPr>
          <w:rFonts w:ascii="Arial" w:hAnsi="Arial" w:cs="Arial"/>
          <w:bCs/>
          <w:kern w:val="28"/>
        </w:rPr>
      </w:pPr>
      <w:r w:rsidRPr="00DE02CF">
        <w:rPr>
          <w:rFonts w:ascii="Arial" w:hAnsi="Arial" w:cs="Arial"/>
          <w:bCs/>
          <w:kern w:val="28"/>
        </w:rPr>
        <w:t>Le malattie riconosciute positivamente sono poco meno di 25 mila l’anno e in oltre il 60% dei casi interessano il sistema osteomuscolare</w:t>
      </w:r>
      <w:r>
        <w:rPr>
          <w:rFonts w:ascii="Arial" w:hAnsi="Arial" w:cs="Arial"/>
          <w:bCs/>
          <w:kern w:val="28"/>
        </w:rPr>
        <w:t xml:space="preserve"> </w:t>
      </w:r>
      <w:r w:rsidR="001B0547">
        <w:rPr>
          <w:rFonts w:ascii="Arial" w:hAnsi="Arial" w:cs="Arial"/>
          <w:bCs/>
          <w:kern w:val="28"/>
        </w:rPr>
        <w:t xml:space="preserve">(soprattutto tendiniti e </w:t>
      </w:r>
      <w:proofErr w:type="spellStart"/>
      <w:r w:rsidR="001B0547">
        <w:rPr>
          <w:rFonts w:ascii="Arial" w:hAnsi="Arial" w:cs="Arial"/>
          <w:bCs/>
          <w:kern w:val="28"/>
        </w:rPr>
        <w:t>dorsopatie</w:t>
      </w:r>
      <w:proofErr w:type="spellEnd"/>
      <w:r w:rsidR="00C015F7">
        <w:rPr>
          <w:rFonts w:ascii="Arial" w:hAnsi="Arial" w:cs="Arial"/>
          <w:bCs/>
          <w:kern w:val="28"/>
        </w:rPr>
        <w:t>)</w:t>
      </w:r>
      <w:r w:rsidRPr="00DE02CF">
        <w:rPr>
          <w:rFonts w:ascii="Arial" w:hAnsi="Arial" w:cs="Arial"/>
          <w:bCs/>
          <w:kern w:val="28"/>
        </w:rPr>
        <w:t>, il 15% il sistema nervoso</w:t>
      </w:r>
      <w:r w:rsidR="001B0547">
        <w:rPr>
          <w:rFonts w:ascii="Arial" w:hAnsi="Arial" w:cs="Arial"/>
          <w:bCs/>
          <w:kern w:val="28"/>
        </w:rPr>
        <w:t xml:space="preserve"> (sindromi del tunnel carpale)</w:t>
      </w:r>
      <w:r w:rsidRPr="00DE02CF">
        <w:rPr>
          <w:rFonts w:ascii="Arial" w:hAnsi="Arial" w:cs="Arial"/>
          <w:bCs/>
          <w:kern w:val="28"/>
        </w:rPr>
        <w:t xml:space="preserve">, il 5% i tumori, con differenze significative per genere. </w:t>
      </w:r>
    </w:p>
    <w:p w:rsidR="00BE559D" w:rsidRDefault="001B0547" w:rsidP="00DE02CF">
      <w:pPr>
        <w:pStyle w:val="Testonormale"/>
        <w:numPr>
          <w:ilvl w:val="0"/>
          <w:numId w:val="1"/>
        </w:numPr>
        <w:spacing w:after="120"/>
        <w:jc w:val="both"/>
        <w:rPr>
          <w:rFonts w:ascii="Arial" w:hAnsi="Arial" w:cs="Arial"/>
          <w:bCs/>
          <w:kern w:val="28"/>
        </w:rPr>
      </w:pPr>
      <w:r>
        <w:rPr>
          <w:rFonts w:ascii="Arial" w:hAnsi="Arial" w:cs="Arial"/>
          <w:bCs/>
          <w:kern w:val="28"/>
        </w:rPr>
        <w:t>A</w:t>
      </w:r>
      <w:r w:rsidR="00DE02CF" w:rsidRPr="00DE02CF">
        <w:rPr>
          <w:rFonts w:ascii="Arial" w:hAnsi="Arial" w:cs="Arial"/>
          <w:bCs/>
          <w:kern w:val="28"/>
        </w:rPr>
        <w:t xml:space="preserve"> dato consolidato, ogni anno, a prescindere dalla data di denuncia, sono poco meno di 1.900 i lavoratori deceduti con riconoscimento di malattia da lavoro</w:t>
      </w:r>
      <w:r>
        <w:rPr>
          <w:rFonts w:ascii="Arial" w:hAnsi="Arial" w:cs="Arial"/>
          <w:bCs/>
          <w:kern w:val="28"/>
        </w:rPr>
        <w:t>, con un’età media alla morte avanzata (77 anni)</w:t>
      </w:r>
      <w:r w:rsidRPr="00DE02CF">
        <w:rPr>
          <w:rFonts w:ascii="Arial" w:hAnsi="Arial" w:cs="Arial"/>
          <w:bCs/>
          <w:kern w:val="28"/>
        </w:rPr>
        <w:t>.</w:t>
      </w:r>
    </w:p>
    <w:p w:rsidR="00DF2064" w:rsidRDefault="00DF2064" w:rsidP="00516302">
      <w:pPr>
        <w:pStyle w:val="Testonormale"/>
        <w:spacing w:after="120"/>
        <w:ind w:left="360"/>
        <w:jc w:val="both"/>
        <w:rPr>
          <w:rFonts w:ascii="Arial" w:hAnsi="Arial" w:cs="Arial"/>
          <w:bCs/>
          <w:kern w:val="28"/>
        </w:rPr>
      </w:pPr>
    </w:p>
    <w:p w:rsidR="00974953" w:rsidRPr="00E6563E" w:rsidRDefault="00974953" w:rsidP="00974953">
      <w:pPr>
        <w:spacing w:after="120"/>
        <w:rPr>
          <w:rFonts w:ascii="Arial Narrow" w:hAnsi="Arial Narrow" w:cs="Arial"/>
          <w:bCs/>
          <w:kern w:val="28"/>
          <w:sz w:val="19"/>
          <w:szCs w:val="19"/>
        </w:rPr>
      </w:pPr>
      <w:r w:rsidRPr="00974953">
        <w:rPr>
          <w:rFonts w:ascii="Arial Narrow" w:hAnsi="Arial Narrow" w:cs="Arial"/>
          <w:b/>
          <w:bCs/>
          <w:kern w:val="28"/>
          <w:sz w:val="20"/>
          <w:szCs w:val="20"/>
        </w:rPr>
        <w:t xml:space="preserve">Malattie professionali riconosciute positive per agente causale - Anno 2017 </w:t>
      </w:r>
      <w:r w:rsidRPr="00E6563E">
        <w:rPr>
          <w:rFonts w:ascii="Arial Narrow" w:hAnsi="Arial Narrow" w:cs="Arial"/>
          <w:bCs/>
          <w:kern w:val="28"/>
          <w:sz w:val="19"/>
          <w:szCs w:val="19"/>
        </w:rPr>
        <w:t>(composizione percentuale)</w:t>
      </w:r>
    </w:p>
    <w:p w:rsidR="00974953" w:rsidRDefault="00974953" w:rsidP="00974953">
      <w:pPr>
        <w:pStyle w:val="Testonormale"/>
        <w:spacing w:after="120"/>
        <w:jc w:val="both"/>
        <w:rPr>
          <w:rFonts w:ascii="Arial" w:hAnsi="Arial" w:cs="Arial"/>
          <w:bCs/>
          <w:kern w:val="28"/>
        </w:rPr>
      </w:pPr>
    </w:p>
    <w:p w:rsidR="00974953" w:rsidRDefault="00974953" w:rsidP="00974953">
      <w:pPr>
        <w:pStyle w:val="Testonormale"/>
        <w:spacing w:after="120"/>
        <w:jc w:val="both"/>
        <w:rPr>
          <w:rFonts w:ascii="Arial" w:hAnsi="Arial" w:cs="Arial"/>
          <w:bCs/>
          <w:kern w:val="28"/>
        </w:rPr>
      </w:pPr>
      <w:r>
        <w:rPr>
          <w:noProof/>
        </w:rPr>
        <w:drawing>
          <wp:inline distT="0" distB="0" distL="0" distR="0" wp14:anchorId="13F3AB2E" wp14:editId="05FAD1CA">
            <wp:extent cx="5201392" cy="2078182"/>
            <wp:effectExtent l="0" t="0" r="0" b="0"/>
            <wp:docPr id="12" name="Gra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74953" w:rsidRPr="00BA3E26" w:rsidRDefault="00974953" w:rsidP="00974953">
      <w:pPr>
        <w:pStyle w:val="Testonormale"/>
        <w:spacing w:after="120"/>
        <w:jc w:val="both"/>
        <w:rPr>
          <w:rFonts w:ascii="Arial Narrow" w:hAnsi="Arial Narrow" w:cs="Arial"/>
          <w:bCs/>
          <w:kern w:val="28"/>
          <w:sz w:val="15"/>
          <w:szCs w:val="15"/>
        </w:rPr>
      </w:pPr>
      <w:r w:rsidRPr="00BA3E26">
        <w:rPr>
          <w:rFonts w:ascii="Arial Narrow" w:eastAsiaTheme="minorHAnsi" w:hAnsi="Arial Narrow" w:cs="ArialNarrow"/>
          <w:sz w:val="15"/>
          <w:szCs w:val="15"/>
          <w:lang w:eastAsia="en-US"/>
        </w:rPr>
        <w:t>Fonte: Elaborazione su dati Open Data Inail rilevati al 31/10/2018 - sezioni A-T Ateco 2007, esclusi marittimi; al netto di studenti</w:t>
      </w:r>
    </w:p>
    <w:p w:rsidR="00974953" w:rsidRPr="00DE02CF" w:rsidRDefault="00974953" w:rsidP="00974953">
      <w:pPr>
        <w:pStyle w:val="Testonormale"/>
        <w:spacing w:after="120"/>
        <w:jc w:val="both"/>
        <w:rPr>
          <w:rFonts w:ascii="Arial" w:hAnsi="Arial" w:cs="Arial"/>
          <w:bCs/>
          <w:kern w:val="28"/>
        </w:rPr>
      </w:pPr>
    </w:p>
    <w:p w:rsidR="00DD6D02" w:rsidRDefault="00DD6D02" w:rsidP="00FA1F90">
      <w:pPr>
        <w:spacing w:after="100" w:line="280" w:lineRule="exact"/>
        <w:jc w:val="both"/>
        <w:rPr>
          <w:rFonts w:ascii="Arial" w:hAnsi="Arial" w:cs="Arial"/>
          <w:b/>
          <w:sz w:val="22"/>
          <w:szCs w:val="22"/>
        </w:rPr>
      </w:pPr>
    </w:p>
    <w:p w:rsidR="00246193" w:rsidRPr="00516302" w:rsidRDefault="00246193" w:rsidP="00FA1F90">
      <w:pPr>
        <w:spacing w:after="100" w:line="280" w:lineRule="exact"/>
        <w:jc w:val="both"/>
        <w:rPr>
          <w:rFonts w:ascii="Arial" w:hAnsi="Arial" w:cs="Arial"/>
          <w:b/>
          <w:sz w:val="22"/>
          <w:szCs w:val="22"/>
        </w:rPr>
      </w:pPr>
      <w:r w:rsidRPr="00516302">
        <w:rPr>
          <w:rFonts w:ascii="Arial" w:hAnsi="Arial" w:cs="Arial"/>
          <w:b/>
          <w:sz w:val="22"/>
          <w:szCs w:val="22"/>
        </w:rPr>
        <w:t>Contatti</w:t>
      </w:r>
    </w:p>
    <w:p w:rsidR="002F6AEC" w:rsidRPr="00C65E59" w:rsidRDefault="002F6AEC" w:rsidP="002662E6">
      <w:pPr>
        <w:spacing w:line="280" w:lineRule="exact"/>
        <w:rPr>
          <w:rFonts w:ascii="Arial" w:hAnsi="Arial" w:cs="Arial"/>
          <w:sz w:val="20"/>
          <w:szCs w:val="20"/>
        </w:rPr>
      </w:pPr>
      <w:r w:rsidRPr="00C65E59">
        <w:rPr>
          <w:rFonts w:ascii="Arial" w:hAnsi="Arial" w:cs="Arial"/>
          <w:sz w:val="20"/>
          <w:szCs w:val="20"/>
        </w:rPr>
        <w:t>Istat</w:t>
      </w:r>
      <w:r w:rsidR="00246193" w:rsidRPr="00C65E59">
        <w:rPr>
          <w:rFonts w:ascii="Arial" w:hAnsi="Arial" w:cs="Arial"/>
          <w:sz w:val="20"/>
          <w:szCs w:val="20"/>
        </w:rPr>
        <w:t xml:space="preserve"> - </w:t>
      </w:r>
      <w:r w:rsidRPr="00C65E59">
        <w:rPr>
          <w:rFonts w:ascii="Arial" w:hAnsi="Arial" w:cs="Arial"/>
          <w:sz w:val="20"/>
          <w:szCs w:val="20"/>
        </w:rPr>
        <w:t xml:space="preserve"> Ufficio Stampa</w:t>
      </w:r>
      <w:r w:rsidR="00246193" w:rsidRPr="00C65E59">
        <w:rPr>
          <w:rFonts w:ascii="Arial" w:hAnsi="Arial" w:cs="Arial"/>
          <w:sz w:val="20"/>
          <w:szCs w:val="20"/>
        </w:rPr>
        <w:t xml:space="preserve"> – Tel. </w:t>
      </w:r>
      <w:r w:rsidRPr="00C65E59">
        <w:rPr>
          <w:rFonts w:ascii="Arial" w:hAnsi="Arial" w:cs="Arial"/>
          <w:sz w:val="20"/>
          <w:szCs w:val="20"/>
        </w:rPr>
        <w:t>06 46732243</w:t>
      </w:r>
      <w:r w:rsidR="007A508A">
        <w:rPr>
          <w:rFonts w:ascii="Arial" w:hAnsi="Arial" w:cs="Arial"/>
          <w:sz w:val="20"/>
          <w:szCs w:val="20"/>
        </w:rPr>
        <w:t>-</w:t>
      </w:r>
      <w:r w:rsidR="00246193">
        <w:rPr>
          <w:rFonts w:ascii="Arial" w:hAnsi="Arial" w:cs="Arial"/>
          <w:sz w:val="20"/>
          <w:szCs w:val="20"/>
        </w:rPr>
        <w:t>224</w:t>
      </w:r>
      <w:r w:rsidRPr="00C65E59">
        <w:rPr>
          <w:rFonts w:ascii="Arial" w:hAnsi="Arial" w:cs="Arial"/>
          <w:sz w:val="20"/>
          <w:szCs w:val="20"/>
        </w:rPr>
        <w:t>4</w:t>
      </w:r>
    </w:p>
    <w:p w:rsidR="002F6AEC" w:rsidRPr="00C65E59" w:rsidRDefault="002F6AEC" w:rsidP="002662E6">
      <w:pPr>
        <w:spacing w:line="280" w:lineRule="exact"/>
        <w:rPr>
          <w:rFonts w:ascii="Arial" w:hAnsi="Arial" w:cs="Arial"/>
          <w:sz w:val="20"/>
          <w:szCs w:val="20"/>
        </w:rPr>
      </w:pPr>
      <w:r w:rsidRPr="00C65E59">
        <w:rPr>
          <w:rFonts w:ascii="Arial" w:hAnsi="Arial" w:cs="Arial"/>
          <w:sz w:val="20"/>
          <w:szCs w:val="20"/>
        </w:rPr>
        <w:t>Ministero del Lavoro e delle Politiche Sociali</w:t>
      </w:r>
      <w:r w:rsidR="00246193" w:rsidRPr="00C65E59">
        <w:rPr>
          <w:rFonts w:ascii="Arial" w:hAnsi="Arial" w:cs="Arial"/>
          <w:sz w:val="20"/>
          <w:szCs w:val="20"/>
        </w:rPr>
        <w:t xml:space="preserve"> - </w:t>
      </w:r>
      <w:r w:rsidRPr="00C65E59">
        <w:rPr>
          <w:rFonts w:ascii="Arial" w:hAnsi="Arial" w:cs="Arial"/>
          <w:sz w:val="20"/>
          <w:szCs w:val="20"/>
        </w:rPr>
        <w:t xml:space="preserve">Ufficio Stampa </w:t>
      </w:r>
      <w:r w:rsidR="009003EE">
        <w:rPr>
          <w:rFonts w:ascii="Arial" w:hAnsi="Arial" w:cs="Arial"/>
          <w:sz w:val="20"/>
          <w:szCs w:val="20"/>
        </w:rPr>
        <w:t xml:space="preserve">– Tel. </w:t>
      </w:r>
      <w:r w:rsidRPr="00C65E59">
        <w:rPr>
          <w:rFonts w:ascii="Arial" w:hAnsi="Arial" w:cs="Arial"/>
          <w:sz w:val="20"/>
          <w:szCs w:val="20"/>
        </w:rPr>
        <w:t>06</w:t>
      </w:r>
      <w:r w:rsidR="00207C9A" w:rsidRPr="00C65E59">
        <w:rPr>
          <w:rFonts w:ascii="Arial" w:hAnsi="Arial" w:cs="Arial"/>
          <w:sz w:val="20"/>
          <w:szCs w:val="20"/>
        </w:rPr>
        <w:t xml:space="preserve"> </w:t>
      </w:r>
      <w:r w:rsidRPr="00C65E59">
        <w:rPr>
          <w:rFonts w:ascii="Arial" w:hAnsi="Arial" w:cs="Arial"/>
          <w:sz w:val="20"/>
          <w:szCs w:val="20"/>
        </w:rPr>
        <w:t>48161451</w:t>
      </w:r>
    </w:p>
    <w:p w:rsidR="002F6AEC" w:rsidRPr="00C65E59" w:rsidRDefault="002662E6" w:rsidP="002662E6">
      <w:pPr>
        <w:spacing w:line="28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Inps</w:t>
      </w:r>
      <w:r w:rsidR="00246193" w:rsidRPr="00C65E59">
        <w:rPr>
          <w:rFonts w:ascii="Arial" w:hAnsi="Arial" w:cs="Arial"/>
          <w:sz w:val="20"/>
          <w:szCs w:val="20"/>
        </w:rPr>
        <w:t xml:space="preserve"> -</w:t>
      </w:r>
      <w:r w:rsidR="002F6AEC" w:rsidRPr="00C65E59">
        <w:rPr>
          <w:rFonts w:ascii="Arial" w:hAnsi="Arial" w:cs="Arial"/>
          <w:sz w:val="20"/>
          <w:szCs w:val="20"/>
        </w:rPr>
        <w:t xml:space="preserve"> Ufficio St</w:t>
      </w:r>
      <w:r w:rsidR="00207C9A" w:rsidRPr="00C65E59">
        <w:rPr>
          <w:rFonts w:ascii="Arial" w:hAnsi="Arial" w:cs="Arial"/>
          <w:sz w:val="20"/>
          <w:szCs w:val="20"/>
        </w:rPr>
        <w:t>a</w:t>
      </w:r>
      <w:r w:rsidR="002F6AEC" w:rsidRPr="00C65E59">
        <w:rPr>
          <w:rFonts w:ascii="Arial" w:hAnsi="Arial" w:cs="Arial"/>
          <w:sz w:val="20"/>
          <w:szCs w:val="20"/>
        </w:rPr>
        <w:t>mpa</w:t>
      </w:r>
      <w:r w:rsidR="00246193" w:rsidRPr="00C65E59">
        <w:rPr>
          <w:rFonts w:ascii="Arial" w:hAnsi="Arial" w:cs="Arial"/>
          <w:sz w:val="20"/>
          <w:szCs w:val="20"/>
        </w:rPr>
        <w:t xml:space="preserve"> – Tel. </w:t>
      </w:r>
      <w:r w:rsidR="002F6AEC" w:rsidRPr="00C65E59">
        <w:rPr>
          <w:rFonts w:ascii="Arial" w:hAnsi="Arial" w:cs="Arial"/>
          <w:sz w:val="20"/>
          <w:szCs w:val="20"/>
        </w:rPr>
        <w:t>06 59055085</w:t>
      </w:r>
    </w:p>
    <w:p w:rsidR="002F6AEC" w:rsidRPr="00C65E59" w:rsidRDefault="002662E6" w:rsidP="002662E6">
      <w:pPr>
        <w:spacing w:line="28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Inail</w:t>
      </w:r>
      <w:r w:rsidR="00246193" w:rsidRPr="00C65E59">
        <w:rPr>
          <w:rFonts w:ascii="Arial" w:hAnsi="Arial" w:cs="Arial"/>
          <w:sz w:val="20"/>
          <w:szCs w:val="20"/>
        </w:rPr>
        <w:t xml:space="preserve"> -</w:t>
      </w:r>
      <w:r w:rsidR="002F6AEC" w:rsidRPr="00C65E59">
        <w:rPr>
          <w:rFonts w:ascii="Arial" w:hAnsi="Arial" w:cs="Arial"/>
          <w:sz w:val="20"/>
          <w:szCs w:val="20"/>
        </w:rPr>
        <w:t xml:space="preserve"> Ufficio Stampa</w:t>
      </w:r>
      <w:r w:rsidR="00246193" w:rsidRPr="00C65E59">
        <w:rPr>
          <w:rFonts w:ascii="Arial" w:hAnsi="Arial" w:cs="Arial"/>
          <w:sz w:val="20"/>
          <w:szCs w:val="20"/>
        </w:rPr>
        <w:t xml:space="preserve"> – Tel. </w:t>
      </w:r>
      <w:r w:rsidR="002F6AEC" w:rsidRPr="00C65E59">
        <w:rPr>
          <w:rFonts w:ascii="Arial" w:hAnsi="Arial" w:cs="Arial"/>
          <w:sz w:val="20"/>
          <w:szCs w:val="20"/>
        </w:rPr>
        <w:t xml:space="preserve">06 </w:t>
      </w:r>
      <w:r w:rsidR="00E8245C" w:rsidRPr="00DD6D02">
        <w:rPr>
          <w:rFonts w:ascii="Arial" w:hAnsi="Arial" w:cs="Arial"/>
          <w:sz w:val="20"/>
          <w:szCs w:val="20"/>
        </w:rPr>
        <w:t>5487</w:t>
      </w:r>
      <w:r w:rsidR="00E8245C" w:rsidRPr="00516302">
        <w:rPr>
          <w:rFonts w:ascii="Arial" w:hAnsi="Arial" w:cs="Arial"/>
          <w:sz w:val="20"/>
          <w:szCs w:val="20"/>
        </w:rPr>
        <w:t>2533</w:t>
      </w:r>
    </w:p>
    <w:p w:rsidR="0041172B" w:rsidRDefault="002662E6" w:rsidP="002662E6">
      <w:pPr>
        <w:spacing w:line="28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Anpal</w:t>
      </w:r>
      <w:r w:rsidR="00246193" w:rsidRPr="009003EE">
        <w:rPr>
          <w:rFonts w:ascii="Arial" w:hAnsi="Arial" w:cs="Arial"/>
          <w:sz w:val="20"/>
          <w:szCs w:val="20"/>
        </w:rPr>
        <w:t xml:space="preserve"> -</w:t>
      </w:r>
      <w:r w:rsidR="0041172B" w:rsidRPr="009003EE">
        <w:rPr>
          <w:rFonts w:ascii="Arial" w:hAnsi="Arial" w:cs="Arial"/>
          <w:sz w:val="20"/>
          <w:szCs w:val="20"/>
        </w:rPr>
        <w:t xml:space="preserve"> Ufficio Stampa</w:t>
      </w:r>
      <w:r w:rsidR="00246193" w:rsidRPr="009003EE">
        <w:rPr>
          <w:rFonts w:ascii="Arial" w:hAnsi="Arial" w:cs="Arial"/>
          <w:sz w:val="20"/>
          <w:szCs w:val="20"/>
        </w:rPr>
        <w:t xml:space="preserve"> – Tel. </w:t>
      </w:r>
      <w:r w:rsidR="0041172B" w:rsidRPr="009003EE">
        <w:rPr>
          <w:rFonts w:ascii="Arial" w:hAnsi="Arial" w:cs="Arial"/>
          <w:sz w:val="20"/>
          <w:szCs w:val="20"/>
        </w:rPr>
        <w:t>06</w:t>
      </w:r>
      <w:r w:rsidR="009003EE" w:rsidRPr="009003EE">
        <w:rPr>
          <w:rFonts w:ascii="Arial" w:hAnsi="Arial" w:cs="Arial"/>
          <w:sz w:val="20"/>
          <w:szCs w:val="20"/>
        </w:rPr>
        <w:t xml:space="preserve"> </w:t>
      </w:r>
      <w:r w:rsidR="009003EE">
        <w:rPr>
          <w:rFonts w:ascii="Arial" w:hAnsi="Arial" w:cs="Arial"/>
          <w:sz w:val="20"/>
          <w:szCs w:val="20"/>
        </w:rPr>
        <w:t>46835513</w:t>
      </w:r>
    </w:p>
    <w:p w:rsidR="007C5438" w:rsidRDefault="007C5438" w:rsidP="002662E6">
      <w:pPr>
        <w:spacing w:line="280" w:lineRule="exact"/>
        <w:rPr>
          <w:rFonts w:ascii="Arial" w:hAnsi="Arial" w:cs="Arial"/>
          <w:sz w:val="20"/>
          <w:szCs w:val="20"/>
        </w:rPr>
      </w:pPr>
    </w:p>
    <w:p w:rsidR="007C5438" w:rsidRDefault="007C5438" w:rsidP="002662E6">
      <w:pPr>
        <w:spacing w:line="280" w:lineRule="exact"/>
        <w:rPr>
          <w:rFonts w:ascii="Arial" w:hAnsi="Arial" w:cs="Arial"/>
          <w:sz w:val="20"/>
          <w:szCs w:val="20"/>
        </w:rPr>
      </w:pPr>
    </w:p>
    <w:sectPr w:rsidR="007C5438" w:rsidSect="00F20264">
      <w:headerReference w:type="default" r:id="rId29"/>
      <w:footerReference w:type="default" r:id="rId30"/>
      <w:headerReference w:type="first" r:id="rId31"/>
      <w:footnotePr>
        <w:numRestart w:val="eachSect"/>
      </w:footnotePr>
      <w:pgSz w:w="11906" w:h="16838" w:code="9"/>
      <w:pgMar w:top="1276" w:right="1701" w:bottom="1418" w:left="1701" w:header="397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524E" w:rsidRDefault="00B0524E">
      <w:r>
        <w:separator/>
      </w:r>
    </w:p>
  </w:endnote>
  <w:endnote w:type="continuationSeparator" w:id="0">
    <w:p w:rsidR="00B0524E" w:rsidRDefault="00B05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C8C" w:rsidRPr="000B2AF0" w:rsidRDefault="00F03C8C">
    <w:pPr>
      <w:pStyle w:val="Pidipagina"/>
      <w:jc w:val="center"/>
      <w:rPr>
        <w:rFonts w:ascii="Candara" w:hAnsi="Candara"/>
        <w:sz w:val="16"/>
        <w:szCs w:val="16"/>
      </w:rPr>
    </w:pPr>
    <w:r w:rsidRPr="000B2AF0">
      <w:rPr>
        <w:rFonts w:ascii="Candara" w:hAnsi="Candara"/>
        <w:sz w:val="16"/>
        <w:szCs w:val="16"/>
      </w:rPr>
      <w:fldChar w:fldCharType="begin"/>
    </w:r>
    <w:r w:rsidRPr="000B2AF0">
      <w:rPr>
        <w:rFonts w:ascii="Candara" w:hAnsi="Candara"/>
        <w:sz w:val="16"/>
        <w:szCs w:val="16"/>
      </w:rPr>
      <w:instrText>PAGE   \* MERGEFORMAT</w:instrText>
    </w:r>
    <w:r w:rsidRPr="000B2AF0">
      <w:rPr>
        <w:rFonts w:ascii="Candara" w:hAnsi="Candara"/>
        <w:sz w:val="16"/>
        <w:szCs w:val="16"/>
      </w:rPr>
      <w:fldChar w:fldCharType="separate"/>
    </w:r>
    <w:r w:rsidR="00404FC3">
      <w:rPr>
        <w:rFonts w:ascii="Candara" w:hAnsi="Candara"/>
        <w:noProof/>
        <w:sz w:val="16"/>
        <w:szCs w:val="16"/>
      </w:rPr>
      <w:t>9</w:t>
    </w:r>
    <w:r w:rsidRPr="000B2AF0">
      <w:rPr>
        <w:rFonts w:ascii="Candara" w:hAnsi="Candara"/>
        <w:noProof/>
        <w:sz w:val="16"/>
        <w:szCs w:val="16"/>
      </w:rPr>
      <w:fldChar w:fldCharType="end"/>
    </w:r>
  </w:p>
  <w:p w:rsidR="00F03C8C" w:rsidRDefault="00F03C8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524E" w:rsidRDefault="00B0524E">
      <w:r>
        <w:separator/>
      </w:r>
    </w:p>
  </w:footnote>
  <w:footnote w:type="continuationSeparator" w:id="0">
    <w:p w:rsidR="00B0524E" w:rsidRDefault="00B052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1001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3"/>
      <w:gridCol w:w="2204"/>
      <w:gridCol w:w="1953"/>
      <w:gridCol w:w="1953"/>
      <w:gridCol w:w="1953"/>
    </w:tblGrid>
    <w:tr w:rsidR="00F03C8C" w:rsidTr="00C65E59">
      <w:trPr>
        <w:trHeight w:val="814"/>
        <w:jc w:val="center"/>
      </w:trPr>
      <w:tc>
        <w:tcPr>
          <w:tcW w:w="1953" w:type="dxa"/>
          <w:vAlign w:val="center"/>
        </w:tcPr>
        <w:p w:rsidR="00F03C8C" w:rsidRDefault="00F03C8C" w:rsidP="00F03C8C">
          <w:pPr>
            <w:pStyle w:val="Intestazione"/>
            <w:tabs>
              <w:tab w:val="clear" w:pos="4819"/>
              <w:tab w:val="clear" w:pos="9638"/>
            </w:tabs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257CF718" wp14:editId="46201116">
                <wp:simplePos x="0" y="0"/>
                <wp:positionH relativeFrom="column">
                  <wp:posOffset>-10160</wp:posOffset>
                </wp:positionH>
                <wp:positionV relativeFrom="paragraph">
                  <wp:posOffset>2540</wp:posOffset>
                </wp:positionV>
                <wp:extent cx="525780" cy="459105"/>
                <wp:effectExtent l="0" t="0" r="7620" b="0"/>
                <wp:wrapNone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63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780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04" w:type="dxa"/>
          <w:vAlign w:val="center"/>
        </w:tcPr>
        <w:p w:rsidR="00F03C8C" w:rsidRDefault="00F03C8C" w:rsidP="00F03C8C">
          <w:pPr>
            <w:pStyle w:val="Intestazione"/>
            <w:tabs>
              <w:tab w:val="clear" w:pos="4819"/>
              <w:tab w:val="clear" w:pos="9638"/>
            </w:tabs>
          </w:pPr>
          <w:r>
            <w:rPr>
              <w:noProof/>
            </w:rPr>
            <w:drawing>
              <wp:inline distT="0" distB="0" distL="0" distR="0" wp14:anchorId="573C49C4" wp14:editId="3EE6B6B3">
                <wp:extent cx="940279" cy="526355"/>
                <wp:effectExtent l="0" t="0" r="0" b="7620"/>
                <wp:docPr id="3" name="Immagine 3" descr="C:\Users\faticoni\AppData\Local\Temp\Logo_a_colori_con_denominazione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faticoni\AppData\Local\Temp\Logo_a_colori_con_denominazione.t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517" b="7447"/>
                        <a:stretch/>
                      </pic:blipFill>
                      <pic:spPr bwMode="auto">
                        <a:xfrm>
                          <a:off x="0" y="0"/>
                          <a:ext cx="947576" cy="53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3" w:type="dxa"/>
          <w:vAlign w:val="center"/>
        </w:tcPr>
        <w:p w:rsidR="00F03C8C" w:rsidRDefault="00F03C8C" w:rsidP="00F03C8C">
          <w:pPr>
            <w:pStyle w:val="Intestazione"/>
            <w:tabs>
              <w:tab w:val="clear" w:pos="4819"/>
              <w:tab w:val="clear" w:pos="9638"/>
            </w:tabs>
          </w:pPr>
          <w:r>
            <w:rPr>
              <w:noProof/>
            </w:rPr>
            <w:drawing>
              <wp:inline distT="0" distB="0" distL="0" distR="0" wp14:anchorId="33FBCA58" wp14:editId="5D8E5939">
                <wp:extent cx="785267" cy="457200"/>
                <wp:effectExtent l="0" t="0" r="0" b="0"/>
                <wp:docPr id="4" name="Immagine 4" descr="http://www.il-portico.it/ilgrandevolo/wp-content/uploads/2013/06/INPS-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ttp://www.il-portico.it/ilgrandevolo/wp-content/uploads/2013/06/INPS-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187" cy="46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3" w:type="dxa"/>
          <w:vAlign w:val="center"/>
        </w:tcPr>
        <w:p w:rsidR="00F03C8C" w:rsidRDefault="00F03C8C" w:rsidP="00F03C8C">
          <w:pPr>
            <w:pStyle w:val="Intestazione"/>
            <w:tabs>
              <w:tab w:val="clear" w:pos="4819"/>
              <w:tab w:val="clear" w:pos="9638"/>
            </w:tabs>
          </w:pPr>
          <w:r>
            <w:rPr>
              <w:noProof/>
            </w:rPr>
            <w:drawing>
              <wp:inline distT="0" distB="0" distL="0" distR="0" wp14:anchorId="3901D5F2" wp14:editId="16797085">
                <wp:extent cx="776377" cy="310551"/>
                <wp:effectExtent l="0" t="0" r="5080" b="0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318" cy="311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3" w:type="dxa"/>
          <w:vAlign w:val="center"/>
        </w:tcPr>
        <w:p w:rsidR="00F03C8C" w:rsidRDefault="00F03C8C" w:rsidP="00F03C8C">
          <w:pPr>
            <w:pStyle w:val="Intestazione"/>
            <w:tabs>
              <w:tab w:val="clear" w:pos="4819"/>
              <w:tab w:val="clear" w:pos="9638"/>
            </w:tabs>
          </w:pPr>
          <w:r>
            <w:rPr>
              <w:noProof/>
            </w:rPr>
            <w:drawing>
              <wp:inline distT="0" distB="0" distL="0" distR="0" wp14:anchorId="4BDE5C5B" wp14:editId="2C89F82F">
                <wp:extent cx="618852" cy="215660"/>
                <wp:effectExtent l="0" t="0" r="0" b="0"/>
                <wp:docPr id="7" name="Immagine 7" descr="C:\Users\lifagiol\Desktop\logo-Anp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C:\Users\lifagiol\Desktop\logo-Anp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8093" cy="21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03C8C" w:rsidRDefault="00F03C8C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C8C" w:rsidRDefault="00F03C8C">
    <w:pPr>
      <w:pStyle w:val="Intestazione"/>
    </w:pPr>
  </w:p>
  <w:p w:rsidR="00F03C8C" w:rsidRDefault="00F03C8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A18FA"/>
    <w:multiLevelType w:val="hybridMultilevel"/>
    <w:tmpl w:val="C18A8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9368B"/>
    <w:multiLevelType w:val="hybridMultilevel"/>
    <w:tmpl w:val="3E20A2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FAD3017"/>
    <w:multiLevelType w:val="hybridMultilevel"/>
    <w:tmpl w:val="EBA266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257AFE"/>
    <w:multiLevelType w:val="hybridMultilevel"/>
    <w:tmpl w:val="6EAA12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087CDE"/>
    <w:multiLevelType w:val="hybridMultilevel"/>
    <w:tmpl w:val="4D10AE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5FC1124"/>
    <w:multiLevelType w:val="hybridMultilevel"/>
    <w:tmpl w:val="8536D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193336"/>
    <w:multiLevelType w:val="hybridMultilevel"/>
    <w:tmpl w:val="CF0EE2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5D5154B"/>
    <w:multiLevelType w:val="hybridMultilevel"/>
    <w:tmpl w:val="389065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6C8"/>
    <w:rsid w:val="00016A90"/>
    <w:rsid w:val="00016CD8"/>
    <w:rsid w:val="00022DDB"/>
    <w:rsid w:val="00027C33"/>
    <w:rsid w:val="00033240"/>
    <w:rsid w:val="00035D3A"/>
    <w:rsid w:val="00046552"/>
    <w:rsid w:val="0005637E"/>
    <w:rsid w:val="00071752"/>
    <w:rsid w:val="00081403"/>
    <w:rsid w:val="00081E39"/>
    <w:rsid w:val="0009126D"/>
    <w:rsid w:val="000B5F48"/>
    <w:rsid w:val="000B7DB6"/>
    <w:rsid w:val="000C446F"/>
    <w:rsid w:val="000C617E"/>
    <w:rsid w:val="000D3141"/>
    <w:rsid w:val="000E2363"/>
    <w:rsid w:val="000E37B2"/>
    <w:rsid w:val="000F5657"/>
    <w:rsid w:val="00112F99"/>
    <w:rsid w:val="00142228"/>
    <w:rsid w:val="00143CE0"/>
    <w:rsid w:val="0015678D"/>
    <w:rsid w:val="00164C7D"/>
    <w:rsid w:val="00171A7F"/>
    <w:rsid w:val="001803B8"/>
    <w:rsid w:val="00185E46"/>
    <w:rsid w:val="00192873"/>
    <w:rsid w:val="00196B51"/>
    <w:rsid w:val="001B0547"/>
    <w:rsid w:val="001B425B"/>
    <w:rsid w:val="001B704A"/>
    <w:rsid w:val="001B7411"/>
    <w:rsid w:val="001C05CB"/>
    <w:rsid w:val="001C0C79"/>
    <w:rsid w:val="001C252F"/>
    <w:rsid w:val="001C48C2"/>
    <w:rsid w:val="001D4B43"/>
    <w:rsid w:val="001E662D"/>
    <w:rsid w:val="001F2495"/>
    <w:rsid w:val="00206ECA"/>
    <w:rsid w:val="00207C9A"/>
    <w:rsid w:val="0021068D"/>
    <w:rsid w:val="002202A1"/>
    <w:rsid w:val="00237E60"/>
    <w:rsid w:val="00245C93"/>
    <w:rsid w:val="00246193"/>
    <w:rsid w:val="002523CF"/>
    <w:rsid w:val="002623F6"/>
    <w:rsid w:val="002662E6"/>
    <w:rsid w:val="00286904"/>
    <w:rsid w:val="002A5598"/>
    <w:rsid w:val="002A6FB4"/>
    <w:rsid w:val="002B3746"/>
    <w:rsid w:val="002C62FE"/>
    <w:rsid w:val="002E2107"/>
    <w:rsid w:val="002F6AEC"/>
    <w:rsid w:val="003017AD"/>
    <w:rsid w:val="00306140"/>
    <w:rsid w:val="00310A36"/>
    <w:rsid w:val="00310BBC"/>
    <w:rsid w:val="00313060"/>
    <w:rsid w:val="0032244A"/>
    <w:rsid w:val="00352771"/>
    <w:rsid w:val="00365EB9"/>
    <w:rsid w:val="0037322A"/>
    <w:rsid w:val="00374356"/>
    <w:rsid w:val="003815C3"/>
    <w:rsid w:val="00390CA3"/>
    <w:rsid w:val="003A40B2"/>
    <w:rsid w:val="003B0D16"/>
    <w:rsid w:val="003B181F"/>
    <w:rsid w:val="003B24D6"/>
    <w:rsid w:val="003B3EE1"/>
    <w:rsid w:val="003B5F92"/>
    <w:rsid w:val="003D15B7"/>
    <w:rsid w:val="003F5462"/>
    <w:rsid w:val="0040076E"/>
    <w:rsid w:val="00404FC3"/>
    <w:rsid w:val="0041172B"/>
    <w:rsid w:val="004162F3"/>
    <w:rsid w:val="00425E50"/>
    <w:rsid w:val="004332A1"/>
    <w:rsid w:val="00445100"/>
    <w:rsid w:val="004477E3"/>
    <w:rsid w:val="00455B01"/>
    <w:rsid w:val="00485E31"/>
    <w:rsid w:val="00486934"/>
    <w:rsid w:val="00493665"/>
    <w:rsid w:val="00493B10"/>
    <w:rsid w:val="004A0887"/>
    <w:rsid w:val="004A6382"/>
    <w:rsid w:val="004A6897"/>
    <w:rsid w:val="004B05D6"/>
    <w:rsid w:val="004D0721"/>
    <w:rsid w:val="004E1287"/>
    <w:rsid w:val="004E1F17"/>
    <w:rsid w:val="004E76BB"/>
    <w:rsid w:val="004F171E"/>
    <w:rsid w:val="004F73C1"/>
    <w:rsid w:val="005023BE"/>
    <w:rsid w:val="00506A51"/>
    <w:rsid w:val="0050783B"/>
    <w:rsid w:val="00516302"/>
    <w:rsid w:val="005242D5"/>
    <w:rsid w:val="00526866"/>
    <w:rsid w:val="005333F7"/>
    <w:rsid w:val="00542DF5"/>
    <w:rsid w:val="0054711B"/>
    <w:rsid w:val="00554585"/>
    <w:rsid w:val="00567907"/>
    <w:rsid w:val="00575AF1"/>
    <w:rsid w:val="005815DA"/>
    <w:rsid w:val="005969FE"/>
    <w:rsid w:val="005B6362"/>
    <w:rsid w:val="005D47D4"/>
    <w:rsid w:val="005D5B7C"/>
    <w:rsid w:val="005E140B"/>
    <w:rsid w:val="006036A1"/>
    <w:rsid w:val="00610D5C"/>
    <w:rsid w:val="0061608D"/>
    <w:rsid w:val="00637DC5"/>
    <w:rsid w:val="00647E25"/>
    <w:rsid w:val="00654D04"/>
    <w:rsid w:val="0066024E"/>
    <w:rsid w:val="0066495C"/>
    <w:rsid w:val="00672702"/>
    <w:rsid w:val="00673FC3"/>
    <w:rsid w:val="00675E3B"/>
    <w:rsid w:val="006764F5"/>
    <w:rsid w:val="00697DE5"/>
    <w:rsid w:val="006A0FA7"/>
    <w:rsid w:val="006A65FA"/>
    <w:rsid w:val="006C3237"/>
    <w:rsid w:val="006D03D1"/>
    <w:rsid w:val="006D10EB"/>
    <w:rsid w:val="006D2B82"/>
    <w:rsid w:val="006E2C90"/>
    <w:rsid w:val="006F47C4"/>
    <w:rsid w:val="00703D48"/>
    <w:rsid w:val="00712796"/>
    <w:rsid w:val="007128C8"/>
    <w:rsid w:val="00720E15"/>
    <w:rsid w:val="007233E0"/>
    <w:rsid w:val="00724242"/>
    <w:rsid w:val="00724A17"/>
    <w:rsid w:val="0073670B"/>
    <w:rsid w:val="00740812"/>
    <w:rsid w:val="00765A0C"/>
    <w:rsid w:val="007667D2"/>
    <w:rsid w:val="00773CBD"/>
    <w:rsid w:val="007A022A"/>
    <w:rsid w:val="007A508A"/>
    <w:rsid w:val="007A611A"/>
    <w:rsid w:val="007B07AD"/>
    <w:rsid w:val="007C4F10"/>
    <w:rsid w:val="007C5438"/>
    <w:rsid w:val="007F4970"/>
    <w:rsid w:val="008109C9"/>
    <w:rsid w:val="00837007"/>
    <w:rsid w:val="00837A8A"/>
    <w:rsid w:val="00840A01"/>
    <w:rsid w:val="00847DC5"/>
    <w:rsid w:val="00852501"/>
    <w:rsid w:val="00857FDF"/>
    <w:rsid w:val="00862596"/>
    <w:rsid w:val="00867D04"/>
    <w:rsid w:val="00882B09"/>
    <w:rsid w:val="00883006"/>
    <w:rsid w:val="00884F3A"/>
    <w:rsid w:val="008A01DB"/>
    <w:rsid w:val="008A3A87"/>
    <w:rsid w:val="008B1A13"/>
    <w:rsid w:val="008F453E"/>
    <w:rsid w:val="008F74F2"/>
    <w:rsid w:val="009003EE"/>
    <w:rsid w:val="00915BE7"/>
    <w:rsid w:val="00923E1A"/>
    <w:rsid w:val="009412F0"/>
    <w:rsid w:val="0096306A"/>
    <w:rsid w:val="009648E2"/>
    <w:rsid w:val="00971E47"/>
    <w:rsid w:val="00974953"/>
    <w:rsid w:val="009A431D"/>
    <w:rsid w:val="009A6133"/>
    <w:rsid w:val="009B35D8"/>
    <w:rsid w:val="009B3F7B"/>
    <w:rsid w:val="009B6C68"/>
    <w:rsid w:val="009C0BB2"/>
    <w:rsid w:val="009C10F9"/>
    <w:rsid w:val="009C3925"/>
    <w:rsid w:val="009C63A3"/>
    <w:rsid w:val="009D4C21"/>
    <w:rsid w:val="009E4C1F"/>
    <w:rsid w:val="009E581C"/>
    <w:rsid w:val="009E672E"/>
    <w:rsid w:val="00A12C7A"/>
    <w:rsid w:val="00A25414"/>
    <w:rsid w:val="00A257BD"/>
    <w:rsid w:val="00A34343"/>
    <w:rsid w:val="00A42431"/>
    <w:rsid w:val="00A43011"/>
    <w:rsid w:val="00A43F47"/>
    <w:rsid w:val="00A45B10"/>
    <w:rsid w:val="00A47091"/>
    <w:rsid w:val="00A537E0"/>
    <w:rsid w:val="00A60193"/>
    <w:rsid w:val="00A630C0"/>
    <w:rsid w:val="00A86EBA"/>
    <w:rsid w:val="00A94796"/>
    <w:rsid w:val="00AB423A"/>
    <w:rsid w:val="00AE03B6"/>
    <w:rsid w:val="00AE0B19"/>
    <w:rsid w:val="00AF2DC3"/>
    <w:rsid w:val="00AF7020"/>
    <w:rsid w:val="00B01856"/>
    <w:rsid w:val="00B0524E"/>
    <w:rsid w:val="00B24A4D"/>
    <w:rsid w:val="00B4157A"/>
    <w:rsid w:val="00B4591B"/>
    <w:rsid w:val="00B57A7F"/>
    <w:rsid w:val="00B65FFA"/>
    <w:rsid w:val="00B83F7F"/>
    <w:rsid w:val="00B85F47"/>
    <w:rsid w:val="00B86F18"/>
    <w:rsid w:val="00B926D4"/>
    <w:rsid w:val="00B97F0C"/>
    <w:rsid w:val="00BA3060"/>
    <w:rsid w:val="00BA3E26"/>
    <w:rsid w:val="00BB29FC"/>
    <w:rsid w:val="00BC03AC"/>
    <w:rsid w:val="00BC2639"/>
    <w:rsid w:val="00BC7BB2"/>
    <w:rsid w:val="00BD4E6E"/>
    <w:rsid w:val="00BE559D"/>
    <w:rsid w:val="00BF1A10"/>
    <w:rsid w:val="00C015F7"/>
    <w:rsid w:val="00C016C8"/>
    <w:rsid w:val="00C06BAA"/>
    <w:rsid w:val="00C12895"/>
    <w:rsid w:val="00C33178"/>
    <w:rsid w:val="00C404A3"/>
    <w:rsid w:val="00C56264"/>
    <w:rsid w:val="00C619F1"/>
    <w:rsid w:val="00C6587F"/>
    <w:rsid w:val="00C65E59"/>
    <w:rsid w:val="00C82CE7"/>
    <w:rsid w:val="00C8391D"/>
    <w:rsid w:val="00C9188F"/>
    <w:rsid w:val="00C95FEC"/>
    <w:rsid w:val="00C965FA"/>
    <w:rsid w:val="00CB62FA"/>
    <w:rsid w:val="00CC20F5"/>
    <w:rsid w:val="00CE00B7"/>
    <w:rsid w:val="00CE1157"/>
    <w:rsid w:val="00D04376"/>
    <w:rsid w:val="00D36B4E"/>
    <w:rsid w:val="00D40A07"/>
    <w:rsid w:val="00D453BE"/>
    <w:rsid w:val="00D50433"/>
    <w:rsid w:val="00D51723"/>
    <w:rsid w:val="00D66C98"/>
    <w:rsid w:val="00DB5769"/>
    <w:rsid w:val="00DD6D02"/>
    <w:rsid w:val="00DD7FFC"/>
    <w:rsid w:val="00DE02CF"/>
    <w:rsid w:val="00DF2064"/>
    <w:rsid w:val="00E227ED"/>
    <w:rsid w:val="00E4662B"/>
    <w:rsid w:val="00E51218"/>
    <w:rsid w:val="00E51741"/>
    <w:rsid w:val="00E520BC"/>
    <w:rsid w:val="00E524E8"/>
    <w:rsid w:val="00E572BF"/>
    <w:rsid w:val="00E60441"/>
    <w:rsid w:val="00E6563E"/>
    <w:rsid w:val="00E70F5E"/>
    <w:rsid w:val="00E813D2"/>
    <w:rsid w:val="00E8245C"/>
    <w:rsid w:val="00E83F6B"/>
    <w:rsid w:val="00E8538B"/>
    <w:rsid w:val="00E90276"/>
    <w:rsid w:val="00EA3836"/>
    <w:rsid w:val="00EA3AE0"/>
    <w:rsid w:val="00EA4DBD"/>
    <w:rsid w:val="00EA6915"/>
    <w:rsid w:val="00EB1E1B"/>
    <w:rsid w:val="00EC1F84"/>
    <w:rsid w:val="00ED4C5A"/>
    <w:rsid w:val="00ED7EEB"/>
    <w:rsid w:val="00EE067A"/>
    <w:rsid w:val="00EE462C"/>
    <w:rsid w:val="00F03C8C"/>
    <w:rsid w:val="00F20264"/>
    <w:rsid w:val="00F4156D"/>
    <w:rsid w:val="00F45D9E"/>
    <w:rsid w:val="00F470C7"/>
    <w:rsid w:val="00F640D1"/>
    <w:rsid w:val="00F80B99"/>
    <w:rsid w:val="00F928AC"/>
    <w:rsid w:val="00FA1F90"/>
    <w:rsid w:val="00FA6DC3"/>
    <w:rsid w:val="00FC7C09"/>
    <w:rsid w:val="00FD00DE"/>
    <w:rsid w:val="00FE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016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0C446F"/>
    <w:pPr>
      <w:keepNext/>
      <w:jc w:val="center"/>
      <w:outlineLvl w:val="0"/>
    </w:pPr>
    <w:rPr>
      <w:rFonts w:ascii="Arial Narrow" w:hAnsi="Arial Narrow"/>
      <w:b/>
      <w:bCs/>
      <w:sz w:val="3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B5F4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C016C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016C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C016C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016C8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C01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497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4970"/>
    <w:rPr>
      <w:rFonts w:ascii="Tahoma" w:eastAsia="Times New Roman" w:hAnsi="Tahoma" w:cs="Tahoma"/>
      <w:sz w:val="16"/>
      <w:szCs w:val="16"/>
      <w:lang w:eastAsia="it-IT"/>
    </w:rPr>
  </w:style>
  <w:style w:type="paragraph" w:styleId="Testonormale">
    <w:name w:val="Plain Text"/>
    <w:basedOn w:val="Normale"/>
    <w:link w:val="TestonormaleCarattere"/>
    <w:semiHidden/>
    <w:rsid w:val="00206ECA"/>
    <w:pPr>
      <w:tabs>
        <w:tab w:val="right" w:leader="dot" w:pos="7371"/>
      </w:tabs>
    </w:pPr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semiHidden/>
    <w:rsid w:val="00206ECA"/>
    <w:rPr>
      <w:rFonts w:ascii="Courier New" w:eastAsia="Times New Roman" w:hAnsi="Courier New" w:cs="Times New Roman"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0C446F"/>
    <w:rPr>
      <w:rFonts w:ascii="Arial Narrow" w:eastAsia="Times New Roman" w:hAnsi="Arial Narrow" w:cs="Times New Roman"/>
      <w:b/>
      <w:bCs/>
      <w:sz w:val="32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0B5F48"/>
    <w:pPr>
      <w:ind w:left="720"/>
      <w:contextualSpacing/>
    </w:pPr>
  </w:style>
  <w:style w:type="character" w:customStyle="1" w:styleId="Titolo6Carattere">
    <w:name w:val="Titolo 6 Carattere"/>
    <w:basedOn w:val="Carpredefinitoparagrafo"/>
    <w:link w:val="Titolo6"/>
    <w:rsid w:val="000B5F4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it-IT"/>
    </w:rPr>
  </w:style>
  <w:style w:type="character" w:customStyle="1" w:styleId="ATitoloCapitoloCarattere">
    <w:name w:val="A. Titolo Capitolo Carattere"/>
    <w:link w:val="ATitoloCapitolo"/>
    <w:rsid w:val="000B5F48"/>
    <w:rPr>
      <w:rFonts w:ascii="Arial Narrow" w:hAnsi="Arial Narrow" w:cs="Arial"/>
      <w:b/>
      <w:bCs/>
      <w:caps/>
      <w:color w:val="17365D"/>
      <w:sz w:val="30"/>
      <w:szCs w:val="28"/>
    </w:rPr>
  </w:style>
  <w:style w:type="paragraph" w:customStyle="1" w:styleId="ATitoloCapitolo">
    <w:name w:val="A. Titolo Capitolo"/>
    <w:next w:val="Normale"/>
    <w:link w:val="ATitoloCapitoloCarattere"/>
    <w:rsid w:val="000B5F48"/>
    <w:pPr>
      <w:spacing w:after="840" w:line="240" w:lineRule="auto"/>
      <w:jc w:val="center"/>
    </w:pPr>
    <w:rPr>
      <w:rFonts w:ascii="Arial Narrow" w:hAnsi="Arial Narrow" w:cs="Arial"/>
      <w:b/>
      <w:bCs/>
      <w:caps/>
      <w:color w:val="17365D"/>
      <w:sz w:val="30"/>
      <w:szCs w:val="28"/>
    </w:rPr>
  </w:style>
  <w:style w:type="paragraph" w:customStyle="1" w:styleId="ATesto">
    <w:name w:val="A. Testo"/>
    <w:basedOn w:val="Titolo1"/>
    <w:link w:val="ATestoCarattere"/>
    <w:rsid w:val="000B7DB6"/>
    <w:pPr>
      <w:keepNext w:val="0"/>
      <w:tabs>
        <w:tab w:val="right" w:leader="dot" w:pos="7371"/>
      </w:tabs>
      <w:spacing w:line="288" w:lineRule="auto"/>
      <w:ind w:firstLine="397"/>
      <w:jc w:val="both"/>
    </w:pPr>
    <w:rPr>
      <w:b w:val="0"/>
      <w:kern w:val="28"/>
      <w:sz w:val="24"/>
      <w:szCs w:val="22"/>
    </w:rPr>
  </w:style>
  <w:style w:type="character" w:customStyle="1" w:styleId="ATestoCarattere">
    <w:name w:val="A. Testo Carattere"/>
    <w:link w:val="ATesto"/>
    <w:rsid w:val="000B7DB6"/>
    <w:rPr>
      <w:rFonts w:ascii="Arial Narrow" w:eastAsia="Times New Roman" w:hAnsi="Arial Narrow" w:cs="Times New Roman"/>
      <w:bCs/>
      <w:kern w:val="28"/>
      <w:sz w:val="24"/>
      <w:lang w:eastAsia="it-IT"/>
    </w:rPr>
  </w:style>
  <w:style w:type="paragraph" w:customStyle="1" w:styleId="ARiquadrografico">
    <w:name w:val="A. Riquadro grafico"/>
    <w:basedOn w:val="ATesto"/>
    <w:qFormat/>
    <w:rsid w:val="00486934"/>
    <w:pPr>
      <w:framePr w:w="9639" w:wrap="notBeside" w:vAnchor="text" w:hAnchor="text" w:y="1"/>
      <w:pBdr>
        <w:top w:val="single" w:sz="4" w:space="3" w:color="auto"/>
        <w:left w:val="single" w:sz="4" w:space="0" w:color="auto"/>
        <w:bottom w:val="single" w:sz="4" w:space="3" w:color="auto"/>
        <w:right w:val="single" w:sz="4" w:space="0" w:color="auto"/>
      </w:pBdr>
      <w:tabs>
        <w:tab w:val="clear" w:pos="7371"/>
        <w:tab w:val="right" w:pos="9639"/>
      </w:tabs>
      <w:ind w:left="28" w:right="28" w:firstLine="0"/>
    </w:pPr>
  </w:style>
  <w:style w:type="paragraph" w:styleId="Testonotaapidipagina">
    <w:name w:val="footnote text"/>
    <w:aliases w:val="Footnote Carattere,Footnote1 Carattere,Footnote2 Carattere,Footnote3 Carattere,Footnote4 Carattere,Footnote5 Carattere,Footnote6 Carattere,Footnote7 Carattere,Footnote8 Carattere,Footnote,Footnote1,Footnote2,Footnote3"/>
    <w:basedOn w:val="Normale"/>
    <w:link w:val="TestonotaapidipaginaCarattere"/>
    <w:rsid w:val="00554585"/>
    <w:pPr>
      <w:tabs>
        <w:tab w:val="right" w:leader="dot" w:pos="7371"/>
      </w:tabs>
    </w:pPr>
    <w:rPr>
      <w:sz w:val="20"/>
      <w:szCs w:val="22"/>
    </w:rPr>
  </w:style>
  <w:style w:type="character" w:customStyle="1" w:styleId="TestonotaapidipaginaCarattere">
    <w:name w:val="Testo nota a piè di pagina Carattere"/>
    <w:aliases w:val="Footnote Carattere Carattere,Footnote1 Carattere Carattere,Footnote2 Carattere Carattere,Footnote3 Carattere Carattere,Footnote4 Carattere Carattere,Footnote5 Carattere Carattere,Footnote6 Carattere Carattere"/>
    <w:basedOn w:val="Carpredefinitoparagrafo"/>
    <w:link w:val="Testonotaapidipagina"/>
    <w:rsid w:val="00554585"/>
    <w:rPr>
      <w:rFonts w:ascii="Times New Roman" w:eastAsia="Times New Roman" w:hAnsi="Times New Roman" w:cs="Times New Roman"/>
      <w:sz w:val="20"/>
      <w:lang w:eastAsia="it-IT"/>
    </w:rPr>
  </w:style>
  <w:style w:type="character" w:styleId="Rimandonotaapidipagina">
    <w:name w:val="footnote reference"/>
    <w:aliases w:val="A Footnote Number,Inf_Note a piè di pagina"/>
    <w:rsid w:val="00554585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8B1A1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B1A1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B1A1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B1A1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B1A13"/>
    <w:rPr>
      <w:rFonts w:ascii="Times New Roman" w:eastAsia="Times New Roman" w:hAnsi="Times New Roman" w:cs="Times New Roman"/>
      <w:b/>
      <w:bCs/>
      <w:sz w:val="20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016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0C446F"/>
    <w:pPr>
      <w:keepNext/>
      <w:jc w:val="center"/>
      <w:outlineLvl w:val="0"/>
    </w:pPr>
    <w:rPr>
      <w:rFonts w:ascii="Arial Narrow" w:hAnsi="Arial Narrow"/>
      <w:b/>
      <w:bCs/>
      <w:sz w:val="3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B5F4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C016C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016C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C016C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016C8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C01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497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4970"/>
    <w:rPr>
      <w:rFonts w:ascii="Tahoma" w:eastAsia="Times New Roman" w:hAnsi="Tahoma" w:cs="Tahoma"/>
      <w:sz w:val="16"/>
      <w:szCs w:val="16"/>
      <w:lang w:eastAsia="it-IT"/>
    </w:rPr>
  </w:style>
  <w:style w:type="paragraph" w:styleId="Testonormale">
    <w:name w:val="Plain Text"/>
    <w:basedOn w:val="Normale"/>
    <w:link w:val="TestonormaleCarattere"/>
    <w:semiHidden/>
    <w:rsid w:val="00206ECA"/>
    <w:pPr>
      <w:tabs>
        <w:tab w:val="right" w:leader="dot" w:pos="7371"/>
      </w:tabs>
    </w:pPr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semiHidden/>
    <w:rsid w:val="00206ECA"/>
    <w:rPr>
      <w:rFonts w:ascii="Courier New" w:eastAsia="Times New Roman" w:hAnsi="Courier New" w:cs="Times New Roman"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0C446F"/>
    <w:rPr>
      <w:rFonts w:ascii="Arial Narrow" w:eastAsia="Times New Roman" w:hAnsi="Arial Narrow" w:cs="Times New Roman"/>
      <w:b/>
      <w:bCs/>
      <w:sz w:val="32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0B5F48"/>
    <w:pPr>
      <w:ind w:left="720"/>
      <w:contextualSpacing/>
    </w:pPr>
  </w:style>
  <w:style w:type="character" w:customStyle="1" w:styleId="Titolo6Carattere">
    <w:name w:val="Titolo 6 Carattere"/>
    <w:basedOn w:val="Carpredefinitoparagrafo"/>
    <w:link w:val="Titolo6"/>
    <w:rsid w:val="000B5F4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it-IT"/>
    </w:rPr>
  </w:style>
  <w:style w:type="character" w:customStyle="1" w:styleId="ATitoloCapitoloCarattere">
    <w:name w:val="A. Titolo Capitolo Carattere"/>
    <w:link w:val="ATitoloCapitolo"/>
    <w:rsid w:val="000B5F48"/>
    <w:rPr>
      <w:rFonts w:ascii="Arial Narrow" w:hAnsi="Arial Narrow" w:cs="Arial"/>
      <w:b/>
      <w:bCs/>
      <w:caps/>
      <w:color w:val="17365D"/>
      <w:sz w:val="30"/>
      <w:szCs w:val="28"/>
    </w:rPr>
  </w:style>
  <w:style w:type="paragraph" w:customStyle="1" w:styleId="ATitoloCapitolo">
    <w:name w:val="A. Titolo Capitolo"/>
    <w:next w:val="Normale"/>
    <w:link w:val="ATitoloCapitoloCarattere"/>
    <w:rsid w:val="000B5F48"/>
    <w:pPr>
      <w:spacing w:after="840" w:line="240" w:lineRule="auto"/>
      <w:jc w:val="center"/>
    </w:pPr>
    <w:rPr>
      <w:rFonts w:ascii="Arial Narrow" w:hAnsi="Arial Narrow" w:cs="Arial"/>
      <w:b/>
      <w:bCs/>
      <w:caps/>
      <w:color w:val="17365D"/>
      <w:sz w:val="30"/>
      <w:szCs w:val="28"/>
    </w:rPr>
  </w:style>
  <w:style w:type="paragraph" w:customStyle="1" w:styleId="ATesto">
    <w:name w:val="A. Testo"/>
    <w:basedOn w:val="Titolo1"/>
    <w:link w:val="ATestoCarattere"/>
    <w:rsid w:val="000B7DB6"/>
    <w:pPr>
      <w:keepNext w:val="0"/>
      <w:tabs>
        <w:tab w:val="right" w:leader="dot" w:pos="7371"/>
      </w:tabs>
      <w:spacing w:line="288" w:lineRule="auto"/>
      <w:ind w:firstLine="397"/>
      <w:jc w:val="both"/>
    </w:pPr>
    <w:rPr>
      <w:b w:val="0"/>
      <w:kern w:val="28"/>
      <w:sz w:val="24"/>
      <w:szCs w:val="22"/>
    </w:rPr>
  </w:style>
  <w:style w:type="character" w:customStyle="1" w:styleId="ATestoCarattere">
    <w:name w:val="A. Testo Carattere"/>
    <w:link w:val="ATesto"/>
    <w:rsid w:val="000B7DB6"/>
    <w:rPr>
      <w:rFonts w:ascii="Arial Narrow" w:eastAsia="Times New Roman" w:hAnsi="Arial Narrow" w:cs="Times New Roman"/>
      <w:bCs/>
      <w:kern w:val="28"/>
      <w:sz w:val="24"/>
      <w:lang w:eastAsia="it-IT"/>
    </w:rPr>
  </w:style>
  <w:style w:type="paragraph" w:customStyle="1" w:styleId="ARiquadrografico">
    <w:name w:val="A. Riquadro grafico"/>
    <w:basedOn w:val="ATesto"/>
    <w:qFormat/>
    <w:rsid w:val="00486934"/>
    <w:pPr>
      <w:framePr w:w="9639" w:wrap="notBeside" w:vAnchor="text" w:hAnchor="text" w:y="1"/>
      <w:pBdr>
        <w:top w:val="single" w:sz="4" w:space="3" w:color="auto"/>
        <w:left w:val="single" w:sz="4" w:space="0" w:color="auto"/>
        <w:bottom w:val="single" w:sz="4" w:space="3" w:color="auto"/>
        <w:right w:val="single" w:sz="4" w:space="0" w:color="auto"/>
      </w:pBdr>
      <w:tabs>
        <w:tab w:val="clear" w:pos="7371"/>
        <w:tab w:val="right" w:pos="9639"/>
      </w:tabs>
      <w:ind w:left="28" w:right="28" w:firstLine="0"/>
    </w:pPr>
  </w:style>
  <w:style w:type="paragraph" w:styleId="Testonotaapidipagina">
    <w:name w:val="footnote text"/>
    <w:aliases w:val="Footnote Carattere,Footnote1 Carattere,Footnote2 Carattere,Footnote3 Carattere,Footnote4 Carattere,Footnote5 Carattere,Footnote6 Carattere,Footnote7 Carattere,Footnote8 Carattere,Footnote,Footnote1,Footnote2,Footnote3"/>
    <w:basedOn w:val="Normale"/>
    <w:link w:val="TestonotaapidipaginaCarattere"/>
    <w:rsid w:val="00554585"/>
    <w:pPr>
      <w:tabs>
        <w:tab w:val="right" w:leader="dot" w:pos="7371"/>
      </w:tabs>
    </w:pPr>
    <w:rPr>
      <w:sz w:val="20"/>
      <w:szCs w:val="22"/>
    </w:rPr>
  </w:style>
  <w:style w:type="character" w:customStyle="1" w:styleId="TestonotaapidipaginaCarattere">
    <w:name w:val="Testo nota a piè di pagina Carattere"/>
    <w:aliases w:val="Footnote Carattere Carattere,Footnote1 Carattere Carattere,Footnote2 Carattere Carattere,Footnote3 Carattere Carattere,Footnote4 Carattere Carattere,Footnote5 Carattere Carattere,Footnote6 Carattere Carattere"/>
    <w:basedOn w:val="Carpredefinitoparagrafo"/>
    <w:link w:val="Testonotaapidipagina"/>
    <w:rsid w:val="00554585"/>
    <w:rPr>
      <w:rFonts w:ascii="Times New Roman" w:eastAsia="Times New Roman" w:hAnsi="Times New Roman" w:cs="Times New Roman"/>
      <w:sz w:val="20"/>
      <w:lang w:eastAsia="it-IT"/>
    </w:rPr>
  </w:style>
  <w:style w:type="character" w:styleId="Rimandonotaapidipagina">
    <w:name w:val="footnote reference"/>
    <w:aliases w:val="A Footnote Number,Inf_Note a piè di pagina"/>
    <w:rsid w:val="00554585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8B1A1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B1A1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B1A1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B1A1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B1A13"/>
    <w:rPr>
      <w:rFonts w:ascii="Times New Roman" w:eastAsia="Times New Roman" w:hAnsi="Times New Roman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chart" Target="charts/chart1.xml"/><Relationship Id="rId26" Type="http://schemas.openxmlformats.org/officeDocument/2006/relationships/chart" Target="charts/chart9.xml"/><Relationship Id="rId3" Type="http://schemas.openxmlformats.org/officeDocument/2006/relationships/customXml" Target="../customXml/item3.xml"/><Relationship Id="rId21" Type="http://schemas.openxmlformats.org/officeDocument/2006/relationships/chart" Target="charts/chart4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chart" Target="charts/chart8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chart" Target="charts/chart3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chart" Target="charts/chart7.xml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chart" Target="charts/chart6.xml"/><Relationship Id="rId28" Type="http://schemas.openxmlformats.org/officeDocument/2006/relationships/chart" Target="charts/chart11.xml"/><Relationship Id="rId10" Type="http://schemas.openxmlformats.org/officeDocument/2006/relationships/webSettings" Target="webSettings.xml"/><Relationship Id="rId19" Type="http://schemas.openxmlformats.org/officeDocument/2006/relationships/chart" Target="charts/chart2.xm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tiff"/><Relationship Id="rId22" Type="http://schemas.openxmlformats.org/officeDocument/2006/relationships/chart" Target="charts/chart5.xml"/><Relationship Id="rId27" Type="http://schemas.openxmlformats.org/officeDocument/2006/relationships/chart" Target="charts/chart10.xm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nas-tuscolana\CSOCC\comunicato_accordo_a_quattro\NEW\Rapporto%20Annuale\4_Enti\2018\Capitoli\Sintesi%20e%20Nota%20stampa\Figure%20per%20Nota%20stampa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nas-tuscolana\CSOCC\comunicato_accordo_a_quattro\NEW\Rapporto%20Annuale\4_Enti\2018\Capitoli\Sintesi%20e%20Nota%20stampa\Figure%20per%20Nota%20stampa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nas-tuscolana\CSOCC\comunicato_accordo_a_quattro\NEW\Rapporto%20Annuale\4_Enti\2018\Capitoli\Sintesi%20e%20Nota%20stampa\Figure%20per%20Nota%20stampa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nas-tuscolana\CSOCC\comunicato_accordo_a_quattro\NEW\Rapporto%20Annuale\4_Enti\2018\Capitoli\Sintesi%20e%20Nota%20stampa\Figure%20per%20Nota%20stampa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nas-tuscolana\CSOCC\comunicato_accordo_a_quattro\NEW\Rapporto%20Annuale\4_Enti\2018\Capitoli\Sintesi%20e%20Nota%20stampa\Figure%20per%20Nota%20stampa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nas-tuscolana\CSOCC\comunicato_accordo_a_quattro\NEW\Rapporto%20Annuale\4_Enti\2018\Capitoli\Sintesi%20e%20Nota%20stampa\Figure%20per%20Nota%20stampa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nas-tuscolana\CSOCC\comunicato_accordo_a_quattro\NEW\Rapporto%20Annuale\4_Enti\2018\Capitoli\Sintesi%20e%20Nota%20stampa\Figure%20per%20Nota%20stampa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41985460766553"/>
          <c:y val="0.17698566800403356"/>
          <c:w val="0.84708349592844612"/>
          <c:h val="0.70824572507455641"/>
        </c:manualLayout>
      </c:layout>
      <c:lineChart>
        <c:grouping val="standard"/>
        <c:varyColors val="0"/>
        <c:ser>
          <c:idx val="1"/>
          <c:order val="0"/>
          <c:tx>
            <c:strRef>
              <c:f>'Capitolo 1'!$R$3</c:f>
              <c:strCache>
                <c:ptCount val="1"/>
                <c:pt idx="0">
                  <c:v>Qualificate</c:v>
                </c:pt>
              </c:strCache>
            </c:strRef>
          </c:tx>
          <c:spPr>
            <a:ln w="28575">
              <a:solidFill>
                <a:srgbClr val="AB273B"/>
              </a:solidFill>
              <a:prstDash val="solid"/>
            </a:ln>
          </c:spPr>
          <c:marker>
            <c:symbol val="none"/>
          </c:marker>
          <c:dLbls>
            <c:dLbl>
              <c:idx val="10"/>
              <c:layout>
                <c:manualLayout>
                  <c:x val="-1.1306482948881506E-6"/>
                  <c:y val="2.43868712546207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F24-4A35-96D5-718C33BE075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'Capitolo 1'!$G$4:$G$14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'Capitolo 1'!$R$4:$R$14</c:f>
              <c:numCache>
                <c:formatCode>0</c:formatCode>
                <c:ptCount val="11"/>
                <c:pt idx="0">
                  <c:v>0</c:v>
                </c:pt>
                <c:pt idx="1">
                  <c:v>-354.94999999999982</c:v>
                </c:pt>
                <c:pt idx="2">
                  <c:v>-592.07999999999993</c:v>
                </c:pt>
                <c:pt idx="3">
                  <c:v>-744</c:v>
                </c:pt>
                <c:pt idx="4">
                  <c:v>-823.46000000000095</c:v>
                </c:pt>
                <c:pt idx="5">
                  <c:v>-821.84000000000015</c:v>
                </c:pt>
                <c:pt idx="6">
                  <c:v>-787.13000000000011</c:v>
                </c:pt>
                <c:pt idx="7">
                  <c:v>-710.27999999999975</c:v>
                </c:pt>
                <c:pt idx="8">
                  <c:v>-546.68000000000029</c:v>
                </c:pt>
                <c:pt idx="9">
                  <c:v>-426.77000000000044</c:v>
                </c:pt>
                <c:pt idx="10">
                  <c:v>-223.91000000000076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F24-4A35-96D5-718C33BE0754}"/>
            </c:ext>
          </c:extLst>
        </c:ser>
        <c:ser>
          <c:idx val="2"/>
          <c:order val="1"/>
          <c:tx>
            <c:strRef>
              <c:f>'Capitolo 1'!$S$3</c:f>
              <c:strCache>
                <c:ptCount val="1"/>
                <c:pt idx="0">
                  <c:v>Impiegatizie</c:v>
                </c:pt>
              </c:strCache>
            </c:strRef>
          </c:tx>
          <c:spPr>
            <a:ln w="28575">
              <a:solidFill>
                <a:srgbClr val="53822C"/>
              </a:solidFill>
            </a:ln>
          </c:spPr>
          <c:marker>
            <c:symbol val="none"/>
          </c:marker>
          <c:dLbls>
            <c:dLbl>
              <c:idx val="10"/>
              <c:layout>
                <c:manualLayout>
                  <c:x val="-8.2262224117923867E-3"/>
                  <c:y val="-2.80246507124327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F24-4A35-96D5-718C33BE075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'Capitolo 1'!$G$4:$G$14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'Capitolo 1'!$S$4:$S$14</c:f>
              <c:numCache>
                <c:formatCode>0</c:formatCode>
                <c:ptCount val="11"/>
                <c:pt idx="0">
                  <c:v>0</c:v>
                </c:pt>
                <c:pt idx="1">
                  <c:v>25.970000000000255</c:v>
                </c:pt>
                <c:pt idx="2">
                  <c:v>43.900000000000091</c:v>
                </c:pt>
                <c:pt idx="3">
                  <c:v>210.71000000000004</c:v>
                </c:pt>
                <c:pt idx="4">
                  <c:v>237.22000000000025</c:v>
                </c:pt>
                <c:pt idx="5">
                  <c:v>121.20000000000027</c:v>
                </c:pt>
                <c:pt idx="6">
                  <c:v>72.880000000000109</c:v>
                </c:pt>
                <c:pt idx="7">
                  <c:v>86.130000000000109</c:v>
                </c:pt>
                <c:pt idx="8">
                  <c:v>135.59000000000015</c:v>
                </c:pt>
                <c:pt idx="9">
                  <c:v>162.5</c:v>
                </c:pt>
                <c:pt idx="10">
                  <c:v>178.8100000000004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F24-4A35-96D5-718C33BE0754}"/>
            </c:ext>
          </c:extLst>
        </c:ser>
        <c:ser>
          <c:idx val="3"/>
          <c:order val="2"/>
          <c:tx>
            <c:strRef>
              <c:f>'Capitolo 1'!$T$3</c:f>
              <c:strCache>
                <c:ptCount val="1"/>
                <c:pt idx="0">
                  <c:v>Commercio e servizi</c:v>
                </c:pt>
              </c:strCache>
            </c:strRef>
          </c:tx>
          <c:spPr>
            <a:ln w="28575">
              <a:solidFill>
                <a:srgbClr val="838BBF"/>
              </a:solidFill>
            </a:ln>
          </c:spPr>
          <c:marker>
            <c:symbol val="none"/>
          </c:marker>
          <c:dLbls>
            <c:dLbl>
              <c:idx val="1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F24-4A35-96D5-718C33BE075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'Capitolo 1'!$G$4:$G$14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'Capitolo 1'!$T$4:$T$14</c:f>
              <c:numCache>
                <c:formatCode>0</c:formatCode>
                <c:ptCount val="11"/>
                <c:pt idx="0">
                  <c:v>0</c:v>
                </c:pt>
                <c:pt idx="1">
                  <c:v>25.920000000000073</c:v>
                </c:pt>
                <c:pt idx="2">
                  <c:v>56.350000000000364</c:v>
                </c:pt>
                <c:pt idx="3">
                  <c:v>239.41000000000031</c:v>
                </c:pt>
                <c:pt idx="4">
                  <c:v>370.37000000000035</c:v>
                </c:pt>
                <c:pt idx="5">
                  <c:v>406.44000000000005</c:v>
                </c:pt>
                <c:pt idx="6">
                  <c:v>490.94000000000005</c:v>
                </c:pt>
                <c:pt idx="7">
                  <c:v>524.73</c:v>
                </c:pt>
                <c:pt idx="8">
                  <c:v>615.73</c:v>
                </c:pt>
                <c:pt idx="9">
                  <c:v>744.38000000000056</c:v>
                </c:pt>
                <c:pt idx="10">
                  <c:v>747.75000000000045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6F24-4A35-96D5-718C33BE0754}"/>
            </c:ext>
          </c:extLst>
        </c:ser>
        <c:ser>
          <c:idx val="0"/>
          <c:order val="3"/>
          <c:tx>
            <c:strRef>
              <c:f>'Capitolo 1'!$U$3</c:f>
              <c:strCache>
                <c:ptCount val="1"/>
                <c:pt idx="0">
                  <c:v>Operaie </c:v>
                </c:pt>
              </c:strCache>
            </c:strRef>
          </c:tx>
          <c:spPr>
            <a:ln w="28575">
              <a:solidFill>
                <a:srgbClr val="17365D"/>
              </a:solidFill>
              <a:prstDash val="solid"/>
            </a:ln>
          </c:spPr>
          <c:marker>
            <c:symbol val="none"/>
          </c:marker>
          <c:dLbls>
            <c:dLbl>
              <c:idx val="10"/>
              <c:layout>
                <c:manualLayout>
                  <c:x val="-4.1131112058961933E-3"/>
                  <c:y val="2.83022448495032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F24-4A35-96D5-718C33BE075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'Capitolo 1'!$G$4:$G$14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'Capitolo 1'!$U$4:$U$14</c:f>
              <c:numCache>
                <c:formatCode>#,##0</c:formatCode>
                <c:ptCount val="11"/>
                <c:pt idx="0" formatCode="0">
                  <c:v>0</c:v>
                </c:pt>
                <c:pt idx="1">
                  <c:v>-174.68000000000052</c:v>
                </c:pt>
                <c:pt idx="2">
                  <c:v>-323.23</c:v>
                </c:pt>
                <c:pt idx="3">
                  <c:v>-392.97000000000025</c:v>
                </c:pt>
                <c:pt idx="4">
                  <c:v>-649.90000000000009</c:v>
                </c:pt>
                <c:pt idx="5">
                  <c:v>-970.96000000000026</c:v>
                </c:pt>
                <c:pt idx="6">
                  <c:v>-1013.2</c:v>
                </c:pt>
                <c:pt idx="7">
                  <c:v>-1031.22</c:v>
                </c:pt>
                <c:pt idx="8">
                  <c:v>-1063.73</c:v>
                </c:pt>
                <c:pt idx="9">
                  <c:v>-1077.3700000000001</c:v>
                </c:pt>
                <c:pt idx="10">
                  <c:v>-1052.3499999999999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6F24-4A35-96D5-718C33BE0754}"/>
            </c:ext>
          </c:extLst>
        </c:ser>
        <c:ser>
          <c:idx val="4"/>
          <c:order val="4"/>
          <c:tx>
            <c:strRef>
              <c:f>'Capitolo 1'!$V$3</c:f>
              <c:strCache>
                <c:ptCount val="1"/>
                <c:pt idx="0">
                  <c:v> Non qualificate</c:v>
                </c:pt>
              </c:strCache>
            </c:strRef>
          </c:tx>
          <c:spPr>
            <a:ln w="28575">
              <a:solidFill>
                <a:srgbClr val="FABB00"/>
              </a:solidFill>
            </a:ln>
          </c:spPr>
          <c:marker>
            <c:symbol val="none"/>
          </c:marker>
          <c:dLbls>
            <c:dLbl>
              <c:idx val="1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6F24-4A35-96D5-718C33BE075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'Capitolo 1'!$G$4:$G$14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'Capitolo 1'!$V$4:$V$14</c:f>
              <c:numCache>
                <c:formatCode>#,##0</c:formatCode>
                <c:ptCount val="11"/>
                <c:pt idx="0" formatCode="0">
                  <c:v>0</c:v>
                </c:pt>
                <c:pt idx="1">
                  <c:v>96.509999999999991</c:v>
                </c:pt>
                <c:pt idx="2">
                  <c:v>198.99999999999977</c:v>
                </c:pt>
                <c:pt idx="3">
                  <c:v>190.05999999999972</c:v>
                </c:pt>
                <c:pt idx="4">
                  <c:v>310.08999999999992</c:v>
                </c:pt>
                <c:pt idx="5">
                  <c:v>335.12999999999988</c:v>
                </c:pt>
                <c:pt idx="6">
                  <c:v>372.91999999999985</c:v>
                </c:pt>
                <c:pt idx="7">
                  <c:v>440.70999999999981</c:v>
                </c:pt>
                <c:pt idx="8">
                  <c:v>493.14999999999986</c:v>
                </c:pt>
                <c:pt idx="9">
                  <c:v>492.76</c:v>
                </c:pt>
                <c:pt idx="10">
                  <c:v>475.51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6F24-4A35-96D5-718C33BE07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457088"/>
        <c:axId val="160458624"/>
      </c:lineChart>
      <c:catAx>
        <c:axId val="160457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/>
          <a:lstStyle/>
          <a:p>
            <a:pPr>
              <a:defRPr>
                <a:latin typeface="Arial Narrow" panose="020B0606020202030204" pitchFamily="34" charset="0"/>
                <a:cs typeface="Arial" panose="020B0604020202020204" pitchFamily="34" charset="0"/>
              </a:defRPr>
            </a:pPr>
            <a:endParaRPr lang="it-IT"/>
          </a:p>
        </c:txPr>
        <c:crossAx val="160458624"/>
        <c:crosses val="autoZero"/>
        <c:auto val="1"/>
        <c:lblAlgn val="ctr"/>
        <c:lblOffset val="100"/>
        <c:noMultiLvlLbl val="0"/>
      </c:catAx>
      <c:valAx>
        <c:axId val="160458624"/>
        <c:scaling>
          <c:orientation val="minMax"/>
          <c:max val="1500"/>
          <c:min val="-1800"/>
        </c:scaling>
        <c:delete val="0"/>
        <c:axPos val="l"/>
        <c:numFmt formatCode="0" sourceLinked="0"/>
        <c:majorTickMark val="out"/>
        <c:minorTickMark val="none"/>
        <c:tickLblPos val="nextTo"/>
        <c:crossAx val="160457088"/>
        <c:crosses val="autoZero"/>
        <c:crossBetween val="between"/>
        <c:majorUnit val="300"/>
      </c:valAx>
    </c:plotArea>
    <c:legend>
      <c:legendPos val="t"/>
      <c:layout>
        <c:manualLayout>
          <c:xMode val="edge"/>
          <c:yMode val="edge"/>
          <c:x val="9.3861131680148022E-2"/>
          <c:y val="2.6259413418009397E-2"/>
          <c:w val="0.8836375455400165"/>
          <c:h val="0.14240844027401056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 Narrow" panose="020B0606020202030204" pitchFamily="34" charset="0"/>
        </a:defRPr>
      </a:pPr>
      <a:endParaRPr lang="it-IT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294068946079726E-2"/>
          <c:y val="4.4511879605720971E-2"/>
          <c:w val="0.91433676830664623"/>
          <c:h val="0.7358211979781347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Capitolo6!$G$3</c:f>
              <c:strCache>
                <c:ptCount val="1"/>
                <c:pt idx="0">
                  <c:v>Tempo Indeterminato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Capitolo6!$F$4:$F$6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Capitolo6!$G$4:$G$6</c:f>
              <c:numCache>
                <c:formatCode>0.0</c:formatCode>
                <c:ptCount val="3"/>
                <c:pt idx="0">
                  <c:v>24.3</c:v>
                </c:pt>
                <c:pt idx="1">
                  <c:v>14.4</c:v>
                </c:pt>
                <c:pt idx="2">
                  <c:v>9.1999999999999993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128-41A6-9005-598B2628EE73}"/>
            </c:ext>
          </c:extLst>
        </c:ser>
        <c:ser>
          <c:idx val="1"/>
          <c:order val="1"/>
          <c:tx>
            <c:strRef>
              <c:f>Capitolo6!$H$3</c:f>
              <c:strCache>
                <c:ptCount val="1"/>
                <c:pt idx="0">
                  <c:v>Apprendistato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Capitolo6!$F$4:$F$6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Capitolo6!$H$4:$H$6</c:f>
              <c:numCache>
                <c:formatCode>0.0</c:formatCode>
                <c:ptCount val="3"/>
                <c:pt idx="0">
                  <c:v>10.9</c:v>
                </c:pt>
                <c:pt idx="1">
                  <c:v>15.3</c:v>
                </c:pt>
                <c:pt idx="2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128-41A6-9005-598B2628EE73}"/>
            </c:ext>
          </c:extLst>
        </c:ser>
        <c:ser>
          <c:idx val="2"/>
          <c:order val="2"/>
          <c:tx>
            <c:strRef>
              <c:f>Capitolo6!$I$3</c:f>
              <c:strCache>
                <c:ptCount val="1"/>
                <c:pt idx="0">
                  <c:v>Tempo Determinato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Capitolo6!$F$4:$F$6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Capitolo6!$I$4:$I$6</c:f>
              <c:numCache>
                <c:formatCode>0.0</c:formatCode>
                <c:ptCount val="3"/>
                <c:pt idx="0">
                  <c:v>44.1</c:v>
                </c:pt>
                <c:pt idx="1">
                  <c:v>50.2</c:v>
                </c:pt>
                <c:pt idx="2">
                  <c:v>50.5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128-41A6-9005-598B2628EE73}"/>
            </c:ext>
          </c:extLst>
        </c:ser>
        <c:ser>
          <c:idx val="3"/>
          <c:order val="3"/>
          <c:tx>
            <c:strRef>
              <c:f>Capitolo6!$J$3</c:f>
              <c:strCache>
                <c:ptCount val="1"/>
                <c:pt idx="0">
                  <c:v>Collaborazioni e altro lavoro autonomo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Capitolo6!$F$4:$F$6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Capitolo6!$J$4:$J$6</c:f>
              <c:numCache>
                <c:formatCode>0.0</c:formatCode>
                <c:ptCount val="3"/>
                <c:pt idx="0">
                  <c:v>6.7</c:v>
                </c:pt>
                <c:pt idx="1">
                  <c:v>4.7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128-41A6-9005-598B2628EE73}"/>
            </c:ext>
          </c:extLst>
        </c:ser>
        <c:ser>
          <c:idx val="4"/>
          <c:order val="4"/>
          <c:tx>
            <c:strRef>
              <c:f>Capitolo6!$K$3</c:f>
              <c:strCache>
                <c:ptCount val="1"/>
                <c:pt idx="0">
                  <c:v>Somministrazione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Capitolo6!$F$4:$F$6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Capitolo6!$K$4:$K$6</c:f>
              <c:numCache>
                <c:formatCode>0.0</c:formatCode>
                <c:ptCount val="3"/>
                <c:pt idx="0">
                  <c:v>8.1999999999999993</c:v>
                </c:pt>
                <c:pt idx="1">
                  <c:v>9</c:v>
                </c:pt>
                <c:pt idx="2">
                  <c:v>9.9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128-41A6-9005-598B2628EE73}"/>
            </c:ext>
          </c:extLst>
        </c:ser>
        <c:ser>
          <c:idx val="5"/>
          <c:order val="5"/>
          <c:tx>
            <c:strRef>
              <c:f>Capitolo6!$L$3</c:f>
              <c:strCache>
                <c:ptCount val="1"/>
                <c:pt idx="0">
                  <c:v>Intermittente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Capitolo6!$F$4:$F$6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Capitolo6!$L$4:$L$6</c:f>
              <c:numCache>
                <c:formatCode>0.0</c:formatCode>
                <c:ptCount val="3"/>
                <c:pt idx="0">
                  <c:v>5.4</c:v>
                </c:pt>
                <c:pt idx="1">
                  <c:v>5.8</c:v>
                </c:pt>
                <c:pt idx="2">
                  <c:v>11.9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128-41A6-9005-598B2628EE73}"/>
            </c:ext>
          </c:extLst>
        </c:ser>
        <c:ser>
          <c:idx val="6"/>
          <c:order val="6"/>
          <c:tx>
            <c:strRef>
              <c:f>Capitolo6!$M$3</c:f>
              <c:strCache>
                <c:ptCount val="1"/>
                <c:pt idx="0">
                  <c:v>Altri contratti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Capitolo6!$F$4:$F$6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Capitolo6!$M$4:$M$6</c:f>
              <c:numCache>
                <c:formatCode>0.0</c:formatCode>
                <c:ptCount val="3"/>
                <c:pt idx="0">
                  <c:v>0.4</c:v>
                </c:pt>
                <c:pt idx="1">
                  <c:v>0.6</c:v>
                </c:pt>
                <c:pt idx="2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128-41A6-9005-598B2628EE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67563264"/>
        <c:axId val="167564800"/>
      </c:barChart>
      <c:catAx>
        <c:axId val="1675632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it-IT"/>
          </a:p>
        </c:txPr>
        <c:crossAx val="167564800"/>
        <c:crosses val="autoZero"/>
        <c:auto val="1"/>
        <c:lblAlgn val="ctr"/>
        <c:lblOffset val="100"/>
        <c:noMultiLvlLbl val="0"/>
      </c:catAx>
      <c:valAx>
        <c:axId val="167564800"/>
        <c:scaling>
          <c:orientation val="minMax"/>
          <c:max val="100"/>
        </c:scaling>
        <c:delete val="0"/>
        <c:axPos val="b"/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it-IT"/>
          </a:p>
        </c:txPr>
        <c:crossAx val="167563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7751521433858171E-2"/>
          <c:y val="0.87420503511827374"/>
          <c:w val="0.96379588965020735"/>
          <c:h val="0.10603609126432856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latin typeface="Arial Narrow" panose="020B0606020202030204" pitchFamily="34" charset="0"/>
          <a:cs typeface="Arial" panose="020B0604020202020204" pitchFamily="34" charset="0"/>
        </a:defRPr>
      </a:pPr>
      <a:endParaRPr lang="it-IT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906898312837799"/>
          <c:y val="3.3108516607837819E-2"/>
          <c:w val="0.43299003868171299"/>
          <c:h val="0.88240383745135309"/>
        </c:manualLayout>
      </c:layout>
      <c:doughnutChart>
        <c:varyColors val="1"/>
        <c:ser>
          <c:idx val="0"/>
          <c:order val="0"/>
          <c:spPr>
            <a:solidFill>
              <a:srgbClr val="5B9BD5"/>
            </a:solidFill>
            <a:ln w="19050">
              <a:noFill/>
            </a:ln>
            <a:effectLst/>
            <a:extLst>
              <a:ext uri="{91240B29-F687-4F45-9708-019B960494DF}">
                <a14:hiddenLine xmlns:a14="http://schemas.microsoft.com/office/drawing/2010/main" w="19050">
                  <a:solidFill>
                    <a:sysClr val="window" lastClr="FFFFFF"/>
                  </a:solidFill>
                </a14:hiddenLine>
              </a:ext>
            </a:extLst>
          </c:spPr>
          <c:dPt>
            <c:idx val="0"/>
            <c:bubble3D val="0"/>
            <c:spPr>
              <a:solidFill>
                <a:srgbClr val="17365D"/>
              </a:solidFill>
              <a:ln w="19050">
                <a:noFill/>
              </a:ln>
              <a:effectLst/>
              <a:extLst>
                <a:ext uri="{91240B29-F687-4F45-9708-019B960494DF}">
                  <a14:hiddenLine xmlns:a14="http://schemas.microsoft.com/office/drawing/2010/main" w="19050">
                    <a:solidFill>
                      <a:sysClr val="window" lastClr="FFFFFF"/>
                    </a:solidFill>
                  </a14:hiddenLine>
                </a:ext>
              </a:ex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A83-4287-9F4E-4063314FEB8E}"/>
              </c:ext>
            </c:extLst>
          </c:dPt>
          <c:dPt>
            <c:idx val="1"/>
            <c:bubble3D val="0"/>
            <c:spPr>
              <a:solidFill>
                <a:srgbClr val="AB273B"/>
              </a:solidFill>
              <a:ln w="19050">
                <a:noFill/>
              </a:ln>
              <a:effectLst/>
              <a:extLst>
                <a:ext uri="{91240B29-F687-4F45-9708-019B960494DF}">
                  <a14:hiddenLine xmlns:a14="http://schemas.microsoft.com/office/drawing/2010/main" w="19050">
                    <a:solidFill>
                      <a:sysClr val="window" lastClr="FFFFFF"/>
                    </a:solidFill>
                  </a14:hiddenLine>
                </a:ext>
              </a:ex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A83-4287-9F4E-4063314FEB8E}"/>
              </c:ext>
            </c:extLst>
          </c:dPt>
          <c:dPt>
            <c:idx val="2"/>
            <c:bubble3D val="0"/>
            <c:spPr>
              <a:solidFill>
                <a:srgbClr val="53822C"/>
              </a:solidFill>
              <a:ln w="19050">
                <a:noFill/>
              </a:ln>
              <a:effectLst/>
              <a:extLst>
                <a:ext uri="{91240B29-F687-4F45-9708-019B960494DF}">
                  <a14:hiddenLine xmlns:a14="http://schemas.microsoft.com/office/drawing/2010/main" w="19050">
                    <a:solidFill>
                      <a:sysClr val="window" lastClr="FFFFFF"/>
                    </a:solidFill>
                  </a14:hiddenLine>
                </a:ext>
              </a:ex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A83-4287-9F4E-4063314FEB8E}"/>
              </c:ext>
            </c:extLst>
          </c:dPt>
          <c:dPt>
            <c:idx val="3"/>
            <c:bubble3D val="0"/>
            <c:spPr>
              <a:solidFill>
                <a:srgbClr val="FABB00"/>
              </a:solidFill>
              <a:ln w="19050">
                <a:noFill/>
              </a:ln>
              <a:effectLst/>
              <a:extLst>
                <a:ext uri="{91240B29-F687-4F45-9708-019B960494DF}">
                  <a14:hiddenLine xmlns:a14="http://schemas.microsoft.com/office/drawing/2010/main" w="19050">
                    <a:solidFill>
                      <a:sysClr val="window" lastClr="FFFFFF"/>
                    </a:solidFill>
                  </a14:hiddenLine>
                </a:ext>
              </a:ex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A83-4287-9F4E-4063314FEB8E}"/>
              </c:ext>
            </c:extLst>
          </c:dPt>
          <c:dPt>
            <c:idx val="4"/>
            <c:bubble3D val="0"/>
            <c:spPr>
              <a:solidFill>
                <a:srgbClr val="838BBF"/>
              </a:solidFill>
              <a:ln w="19050">
                <a:noFill/>
              </a:ln>
              <a:effectLst/>
              <a:extLst>
                <a:ext uri="{91240B29-F687-4F45-9708-019B960494DF}">
                  <a14:hiddenLine xmlns:a14="http://schemas.microsoft.com/office/drawing/2010/main" w="19050">
                    <a:solidFill>
                      <a:sysClr val="window" lastClr="FFFFFF"/>
                    </a:solidFill>
                  </a14:hiddenLine>
                </a:ext>
              </a:ex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A83-4287-9F4E-4063314FEB8E}"/>
              </c:ext>
            </c:extLst>
          </c:dPt>
          <c:dPt>
            <c:idx val="5"/>
            <c:bubble3D val="0"/>
            <c:spPr>
              <a:solidFill>
                <a:srgbClr val="C9D200"/>
              </a:solidFill>
              <a:ln w="19050">
                <a:noFill/>
              </a:ln>
              <a:effectLst/>
              <a:extLst>
                <a:ext uri="{91240B29-F687-4F45-9708-019B960494DF}">
                  <a14:hiddenLine xmlns:a14="http://schemas.microsoft.com/office/drawing/2010/main" w="19050">
                    <a:solidFill>
                      <a:sysClr val="window" lastClr="FFFFFF"/>
                    </a:solidFill>
                  </a14:hiddenLine>
                </a:ext>
              </a:ex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A83-4287-9F4E-4063314FEB8E}"/>
              </c:ext>
            </c:extLst>
          </c:dPt>
          <c:dPt>
            <c:idx val="6"/>
            <c:bubble3D val="0"/>
            <c:spPr>
              <a:solidFill>
                <a:srgbClr val="E52713"/>
              </a:solidFill>
              <a:ln w="19050">
                <a:noFill/>
              </a:ln>
              <a:effectLst/>
              <a:extLst>
                <a:ext uri="{91240B29-F687-4F45-9708-019B960494DF}">
                  <a14:hiddenLine xmlns:a14="http://schemas.microsoft.com/office/drawing/2010/main" w="19050">
                    <a:solidFill>
                      <a:sysClr val="window" lastClr="FFFFFF"/>
                    </a:solidFill>
                  </a14:hiddenLine>
                </a:ext>
              </a:ex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6A83-4287-9F4E-4063314FEB8E}"/>
              </c:ext>
            </c:extLst>
          </c:dPt>
          <c:dLbls>
            <c:dLbl>
              <c:idx val="0"/>
              <c:layout>
                <c:manualLayout>
                  <c:x val="0.10542893676751944"/>
                  <c:y val="-9.02559657107081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A83-4287-9F4E-4063314FEB8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9.2950881139857514E-2"/>
                  <c:y val="0.1406727828746177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A83-4287-9F4E-4063314FEB8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2005915504216791"/>
                  <c:y val="0.1517889401755813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A83-4287-9F4E-4063314FEB8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0.11560304961879765"/>
                  <c:y val="7.330636422740735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A83-4287-9F4E-4063314FEB8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8.7384846125003607E-2"/>
                  <c:y val="-3.338052926870379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6A83-4287-9F4E-4063314FEB8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0.10013517541076596"/>
                  <c:y val="-9.036625009029834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6A83-4287-9F4E-4063314FEB8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7.6861546152884694E-2"/>
                  <c:y val="-0.10392256013869826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6A83-4287-9F4E-4063314FEB8E}"/>
                </c:ext>
                <c:ext xmlns:c15="http://schemas.microsoft.com/office/drawing/2012/chart" uri="{CE6537A1-D6FC-4f65-9D91-7224C49458BB}">
                  <c15:layout>
                    <c:manualLayout>
                      <c:w val="7.1669917338985895E-2"/>
                      <c:h val="0.14340614139650454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it-IT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'Capitolo 7a'!$A$9:$A$15</c:f>
              <c:strCache>
                <c:ptCount val="7"/>
                <c:pt idx="0">
                  <c:v>Lavoro ripetitivo</c:v>
                </c:pt>
                <c:pt idx="1">
                  <c:v>Vibrazioni</c:v>
                </c:pt>
                <c:pt idx="2">
                  <c:v>Sollevamento di un carico</c:v>
                </c:pt>
                <c:pt idx="3">
                  <c:v>Movimenti diversi</c:v>
                </c:pt>
                <c:pt idx="4">
                  <c:v>Fibre</c:v>
                </c:pt>
                <c:pt idx="5">
                  <c:v>Posizioni di lavoro</c:v>
                </c:pt>
                <c:pt idx="6">
                  <c:v>Altro</c:v>
                </c:pt>
              </c:strCache>
            </c:strRef>
          </c:cat>
          <c:val>
            <c:numRef>
              <c:f>'Capitolo 7a'!$B$9:$B$15</c:f>
              <c:numCache>
                <c:formatCode>0.0%</c:formatCode>
                <c:ptCount val="7"/>
                <c:pt idx="0">
                  <c:v>0.32900000000000001</c:v>
                </c:pt>
                <c:pt idx="1">
                  <c:v>0.1720445258559955</c:v>
                </c:pt>
                <c:pt idx="2">
                  <c:v>0.16847494246395189</c:v>
                </c:pt>
                <c:pt idx="3">
                  <c:v>7.6746042928937108E-2</c:v>
                </c:pt>
                <c:pt idx="4">
                  <c:v>7.0170494575172604E-2</c:v>
                </c:pt>
                <c:pt idx="5">
                  <c:v>6.2232868348128315E-2</c:v>
                </c:pt>
                <c:pt idx="6">
                  <c:v>0.12216429477243906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6A83-4287-9F4E-4063314FEB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  <a:extLst>
          <a:ext uri="{909E8E84-426E-40DD-AFC4-6F175D3DCCD1}">
            <a14:hiddenFill xmlns:a14="http://schemas.microsoft.com/office/drawing/2010/main">
              <a:noFill/>
            </a14:hiddenFill>
          </a:ext>
          <a:ext uri="{91240B29-F687-4F45-9708-019B960494DF}">
            <a14:hiddenLine xmlns:a14="http://schemas.microsoft.com/office/drawing/2010/main">
              <a:noFill/>
            </a14:hiddenLine>
          </a:ext>
        </a:extLst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  <a:extLst>
      <a:ext uri="{909E8E84-426E-40DD-AFC4-6F175D3DCCD1}">
        <a14:hiddenFill xmlns:a14="http://schemas.microsoft.com/office/drawing/2010/main">
          <a:solidFill>
            <a:sysClr val="window" lastClr="FFFFFF"/>
          </a:solidFill>
        </a14:hiddenFill>
      </a:ext>
      <a:ext uri="{91240B29-F687-4F45-9708-019B960494DF}">
        <a14:hiddenLine xmlns:a14="http://schemas.microsoft.com/office/drawing/2010/main" w="9525" cap="flat" cmpd="sng" algn="ctr">
          <a:solidFill>
            <a:sysClr val="windowText" lastClr="000000">
              <a:lumMod val="15000"/>
              <a:lumOff val="85000"/>
            </a:sysClr>
          </a:solidFill>
          <a:round/>
        </a14:hiddenLine>
      </a:ext>
    </a:extLst>
  </c:spPr>
  <c:txPr>
    <a:bodyPr/>
    <a:lstStyle/>
    <a:p>
      <a:pPr>
        <a:defRPr sz="700">
          <a:latin typeface="Arial Narrow" panose="020B0606020202030204" pitchFamily="34" charset="0"/>
          <a:cs typeface="Arial" panose="020B0604020202020204" pitchFamily="34" charset="0"/>
        </a:defRPr>
      </a:pPr>
      <a:endParaRPr lang="it-IT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366504832715081"/>
          <c:y val="0.18504867009734019"/>
          <c:w val="0.82648224376439694"/>
          <c:h val="0.69202885072436815"/>
        </c:manualLayout>
      </c:layout>
      <c:lineChart>
        <c:grouping val="standard"/>
        <c:varyColors val="0"/>
        <c:ser>
          <c:idx val="1"/>
          <c:order val="0"/>
          <c:tx>
            <c:strRef>
              <c:f>'Capitolo 1'!$N$3</c:f>
              <c:strCache>
                <c:ptCount val="1"/>
                <c:pt idx="0">
                  <c:v>Totale</c:v>
                </c:pt>
              </c:strCache>
            </c:strRef>
          </c:tx>
          <c:spPr>
            <a:ln>
              <a:solidFill>
                <a:srgbClr val="D58671"/>
              </a:solidFill>
              <a:prstDash val="sysDash"/>
            </a:ln>
          </c:spPr>
          <c:marker>
            <c:symbol val="none"/>
          </c:marker>
          <c:dLbls>
            <c:dLbl>
              <c:idx val="10"/>
              <c:layout>
                <c:manualLayout>
                  <c:x val="-8.2051308556853157E-3"/>
                  <c:y val="-2.24193675090405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292-42E9-9A00-28BBE509EE9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'Capitolo 1'!$G$4:$G$14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'Capitolo 1'!$N$4:$N$14</c:f>
              <c:numCache>
                <c:formatCode>#,##0</c:formatCode>
                <c:ptCount val="11"/>
                <c:pt idx="0">
                  <c:v>0</c:v>
                </c:pt>
                <c:pt idx="1">
                  <c:v>-374.16999999999825</c:v>
                </c:pt>
                <c:pt idx="2">
                  <c:v>-604.48999999999796</c:v>
                </c:pt>
                <c:pt idx="3">
                  <c:v>-506.39999999999782</c:v>
                </c:pt>
                <c:pt idx="4">
                  <c:v>-532.53999999999724</c:v>
                </c:pt>
                <c:pt idx="5">
                  <c:v>-932.48999999999796</c:v>
                </c:pt>
                <c:pt idx="6">
                  <c:v>-866.70999999999913</c:v>
                </c:pt>
                <c:pt idx="7">
                  <c:v>-680.18000000000029</c:v>
                </c:pt>
                <c:pt idx="8">
                  <c:v>-373.5</c:v>
                </c:pt>
                <c:pt idx="9">
                  <c:v>-112.86999999999898</c:v>
                </c:pt>
                <c:pt idx="10">
                  <c:v>114.21000000000276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292-42E9-9A00-28BBE509EE9D}"/>
            </c:ext>
          </c:extLst>
        </c:ser>
        <c:ser>
          <c:idx val="2"/>
          <c:order val="1"/>
          <c:tx>
            <c:strRef>
              <c:f>'Capitolo 1'!$O$3</c:f>
              <c:strCache>
                <c:ptCount val="1"/>
                <c:pt idx="0">
                  <c:v>Tempo pieno</c:v>
                </c:pt>
              </c:strCache>
            </c:strRef>
          </c:tx>
          <c:spPr>
            <a:ln>
              <a:solidFill>
                <a:srgbClr val="AB273B"/>
              </a:solidFill>
            </a:ln>
          </c:spPr>
          <c:marker>
            <c:symbol val="none"/>
          </c:marker>
          <c:dLbls>
            <c:dLbl>
              <c:idx val="1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292-42E9-9A00-28BBE509EE9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'Capitolo 1'!$G$4:$G$14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'Capitolo 1'!$O$4:$O$14</c:f>
              <c:numCache>
                <c:formatCode>#,##0</c:formatCode>
                <c:ptCount val="11"/>
                <c:pt idx="0">
                  <c:v>0</c:v>
                </c:pt>
                <c:pt idx="1">
                  <c:v>-297.86000000000058</c:v>
                </c:pt>
                <c:pt idx="2">
                  <c:v>-637.29999999999927</c:v>
                </c:pt>
                <c:pt idx="3">
                  <c:v>-631.38999999999942</c:v>
                </c:pt>
                <c:pt idx="4">
                  <c:v>-1027.1899999999987</c:v>
                </c:pt>
                <c:pt idx="5">
                  <c:v>-1560.369999999999</c:v>
                </c:pt>
                <c:pt idx="6">
                  <c:v>-1616.7199999999975</c:v>
                </c:pt>
                <c:pt idx="7">
                  <c:v>-1502.9799999999996</c:v>
                </c:pt>
                <c:pt idx="8">
                  <c:v>-1311.2599999999984</c:v>
                </c:pt>
                <c:pt idx="9">
                  <c:v>-1115.9300000000003</c:v>
                </c:pt>
                <c:pt idx="10">
                  <c:v>-865.93999999999869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292-42E9-9A00-28BBE509EE9D}"/>
            </c:ext>
          </c:extLst>
        </c:ser>
        <c:ser>
          <c:idx val="3"/>
          <c:order val="2"/>
          <c:tx>
            <c:strRef>
              <c:f>'Capitolo 1'!$P$3</c:f>
              <c:strCache>
                <c:ptCount val="1"/>
                <c:pt idx="0">
                  <c:v>Part time involontario</c:v>
                </c:pt>
              </c:strCache>
            </c:strRef>
          </c:tx>
          <c:spPr>
            <a:ln>
              <a:solidFill>
                <a:srgbClr val="17365D"/>
              </a:solidFill>
            </a:ln>
          </c:spPr>
          <c:marker>
            <c:symbol val="none"/>
          </c:marker>
          <c:dLbls>
            <c:dLbl>
              <c:idx val="10"/>
              <c:layout>
                <c:manualLayout>
                  <c:x val="0"/>
                  <c:y val="-3.49768312918706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292-42E9-9A00-28BBE509EE9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'Capitolo 1'!$G$4:$G$14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'Capitolo 1'!$P$4:$P$14</c:f>
              <c:numCache>
                <c:formatCode>#,##0</c:formatCode>
                <c:ptCount val="11"/>
                <c:pt idx="0">
                  <c:v>0</c:v>
                </c:pt>
                <c:pt idx="1">
                  <c:v>131.06999999999994</c:v>
                </c:pt>
                <c:pt idx="2">
                  <c:v>304.70000000000005</c:v>
                </c:pt>
                <c:pt idx="3">
                  <c:v>470.65000000000009</c:v>
                </c:pt>
                <c:pt idx="4">
                  <c:v>839.2</c:v>
                </c:pt>
                <c:pt idx="5">
                  <c:v>1090.9100000000001</c:v>
                </c:pt>
                <c:pt idx="6">
                  <c:v>1263.8599999999999</c:v>
                </c:pt>
                <c:pt idx="7">
                  <c:v>1340.3500000000001</c:v>
                </c:pt>
                <c:pt idx="8">
                  <c:v>1357.0200000000002</c:v>
                </c:pt>
                <c:pt idx="9">
                  <c:v>1311.72</c:v>
                </c:pt>
                <c:pt idx="10">
                  <c:v>1430.28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292-42E9-9A00-28BBE509EE9D}"/>
            </c:ext>
          </c:extLst>
        </c:ser>
        <c:ser>
          <c:idx val="0"/>
          <c:order val="3"/>
          <c:tx>
            <c:strRef>
              <c:f>'Capitolo 1'!$Q$3</c:f>
              <c:strCache>
                <c:ptCount val="1"/>
                <c:pt idx="0">
                  <c:v>Altro part time</c:v>
                </c:pt>
              </c:strCache>
            </c:strRef>
          </c:tx>
          <c:spPr>
            <a:ln>
              <a:solidFill>
                <a:srgbClr val="53822C"/>
              </a:solidFill>
              <a:prstDash val="solid"/>
            </a:ln>
          </c:spPr>
          <c:marker>
            <c:symbol val="none"/>
          </c:marker>
          <c:dLbls>
            <c:dLbl>
              <c:idx val="10"/>
              <c:layout>
                <c:manualLayout>
                  <c:x val="0"/>
                  <c:y val="-1.65364583333332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292-42E9-9A00-28BBE509EE9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'Capitolo 1'!$G$4:$G$14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'Capitolo 1'!$Q$4:$Q$14</c:f>
              <c:numCache>
                <c:formatCode>#,##0</c:formatCode>
                <c:ptCount val="11"/>
                <c:pt idx="0">
                  <c:v>0</c:v>
                </c:pt>
                <c:pt idx="1">
                  <c:v>-207.3900000000001</c:v>
                </c:pt>
                <c:pt idx="2">
                  <c:v>-271.8900000000001</c:v>
                </c:pt>
                <c:pt idx="3">
                  <c:v>-345.66000000000008</c:v>
                </c:pt>
                <c:pt idx="4">
                  <c:v>-344.55000000000018</c:v>
                </c:pt>
                <c:pt idx="5">
                  <c:v>-463.04000000000019</c:v>
                </c:pt>
                <c:pt idx="6">
                  <c:v>-513.85000000000014</c:v>
                </c:pt>
                <c:pt idx="7">
                  <c:v>-517.56000000000017</c:v>
                </c:pt>
                <c:pt idx="8">
                  <c:v>-419.26000000000022</c:v>
                </c:pt>
                <c:pt idx="9">
                  <c:v>-308.66000000000008</c:v>
                </c:pt>
                <c:pt idx="10">
                  <c:v>-450.13000000000011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F292-42E9-9A00-28BBE509EE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642176"/>
        <c:axId val="160643712"/>
      </c:lineChart>
      <c:catAx>
        <c:axId val="1606421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crossAx val="160643712"/>
        <c:crosses val="autoZero"/>
        <c:auto val="1"/>
        <c:lblAlgn val="ctr"/>
        <c:lblOffset val="100"/>
        <c:noMultiLvlLbl val="0"/>
      </c:catAx>
      <c:valAx>
        <c:axId val="160643712"/>
        <c:scaling>
          <c:orientation val="minMax"/>
          <c:max val="1500"/>
          <c:min val="-1800"/>
        </c:scaling>
        <c:delete val="0"/>
        <c:axPos val="l"/>
        <c:numFmt formatCode="0" sourceLinked="0"/>
        <c:majorTickMark val="out"/>
        <c:minorTickMark val="none"/>
        <c:tickLblPos val="nextTo"/>
        <c:crossAx val="160642176"/>
        <c:crosses val="autoZero"/>
        <c:crossBetween val="between"/>
        <c:majorUnit val="300"/>
      </c:valAx>
    </c:plotArea>
    <c:legend>
      <c:legendPos val="t"/>
      <c:layout>
        <c:manualLayout>
          <c:xMode val="edge"/>
          <c:yMode val="edge"/>
          <c:x val="1.0982583669223537E-2"/>
          <c:y val="3.6000888668444003E-2"/>
          <c:w val="0.97319267822736033"/>
          <c:h val="0.10120181932284683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 Narrow" panose="020B0606020202030204" pitchFamily="34" charset="0"/>
        </a:defRPr>
      </a:pPr>
      <a:endParaRPr lang="it-IT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'fig. 2.2_tipologia  (3)'!$E$13</c:f>
              <c:strCache>
                <c:ptCount val="1"/>
                <c:pt idx="0">
                  <c:v>Tasso attività</c:v>
                </c:pt>
              </c:strCache>
            </c:strRef>
          </c:tx>
          <c:spPr>
            <a:solidFill>
              <a:srgbClr val="17365D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multiLvlStrRef>
              <c:f>'fig. 2.2_tipologia  (3)'!$F$11:$K$12</c:f>
              <c:multiLvlStrCache>
                <c:ptCount val="6"/>
                <c:lvl>
                  <c:pt idx="0">
                    <c:v>Ue</c:v>
                  </c:pt>
                  <c:pt idx="1">
                    <c:v>Italia</c:v>
                  </c:pt>
                  <c:pt idx="2">
                    <c:v>Ue</c:v>
                  </c:pt>
                  <c:pt idx="3">
                    <c:v>Italia</c:v>
                  </c:pt>
                  <c:pt idx="4">
                    <c:v>Ue</c:v>
                  </c:pt>
                  <c:pt idx="5">
                    <c:v>Italia</c:v>
                  </c:pt>
                </c:lvl>
                <c:lvl>
                  <c:pt idx="0">
                    <c:v>Totale</c:v>
                  </c:pt>
                  <c:pt idx="2">
                    <c:v>Maschi</c:v>
                  </c:pt>
                  <c:pt idx="4">
                    <c:v>Femmine</c:v>
                  </c:pt>
                </c:lvl>
              </c:multiLvlStrCache>
            </c:multiLvlStrRef>
          </c:cat>
          <c:val>
            <c:numRef>
              <c:f>'fig. 2.2_tipologia  (3)'!$F$13:$K$13</c:f>
              <c:numCache>
                <c:formatCode>#,##0.0</c:formatCode>
                <c:ptCount val="6"/>
                <c:pt idx="0">
                  <c:v>64.653172653582942</c:v>
                </c:pt>
                <c:pt idx="1">
                  <c:v>57.108055877643423</c:v>
                </c:pt>
                <c:pt idx="2">
                  <c:v>70.415261326782584</c:v>
                </c:pt>
                <c:pt idx="3">
                  <c:v>66.280826264558399</c:v>
                </c:pt>
                <c:pt idx="4">
                  <c:v>59.008541828719828</c:v>
                </c:pt>
                <c:pt idx="5">
                  <c:v>48.146450091695044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DE-4BD2-B6D5-3B8350F41B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axId val="47629824"/>
        <c:axId val="47631360"/>
      </c:barChart>
      <c:lineChart>
        <c:grouping val="standard"/>
        <c:varyColors val="0"/>
        <c:ser>
          <c:idx val="1"/>
          <c:order val="1"/>
          <c:tx>
            <c:strRef>
              <c:f>'fig. 2.2_tipologia  (3)'!$E$14</c:f>
              <c:strCache>
                <c:ptCount val="1"/>
                <c:pt idx="0">
                  <c:v>Tasso attività "allargato"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6"/>
            <c:spPr>
              <a:solidFill>
                <a:srgbClr val="AB273B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multiLvlStrRef>
              <c:f>'fig. 2.2_tipologia  (3)'!$F$11:$K$12</c:f>
              <c:multiLvlStrCache>
                <c:ptCount val="6"/>
                <c:lvl>
                  <c:pt idx="0">
                    <c:v>Ue</c:v>
                  </c:pt>
                  <c:pt idx="1">
                    <c:v>Italia</c:v>
                  </c:pt>
                  <c:pt idx="2">
                    <c:v>Ue</c:v>
                  </c:pt>
                  <c:pt idx="3">
                    <c:v>Italia</c:v>
                  </c:pt>
                  <c:pt idx="4">
                    <c:v>Ue</c:v>
                  </c:pt>
                  <c:pt idx="5">
                    <c:v>Italia</c:v>
                  </c:pt>
                </c:lvl>
                <c:lvl>
                  <c:pt idx="0">
                    <c:v>Totale</c:v>
                  </c:pt>
                  <c:pt idx="2">
                    <c:v>Maschi</c:v>
                  </c:pt>
                  <c:pt idx="4">
                    <c:v>Femmine</c:v>
                  </c:pt>
                </c:lvl>
              </c:multiLvlStrCache>
            </c:multiLvlStrRef>
          </c:cat>
          <c:val>
            <c:numRef>
              <c:f>'fig. 2.2_tipologia  (3)'!$F$14:$K$14</c:f>
              <c:numCache>
                <c:formatCode>#,##0.0</c:formatCode>
                <c:ptCount val="6"/>
                <c:pt idx="0">
                  <c:v>67.420900641211091</c:v>
                </c:pt>
                <c:pt idx="1">
                  <c:v>64.023632046822371</c:v>
                </c:pt>
                <c:pt idx="2">
                  <c:v>72.869614576346493</c:v>
                </c:pt>
                <c:pt idx="3">
                  <c:v>72.078711442030084</c:v>
                </c:pt>
                <c:pt idx="4">
                  <c:v>62.083256537055377</c:v>
                </c:pt>
                <c:pt idx="5">
                  <c:v>56.154484324513135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5DE-4BD2-B6D5-3B8350F41B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629824"/>
        <c:axId val="47631360"/>
      </c:lineChart>
      <c:catAx>
        <c:axId val="476298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7631360"/>
        <c:crosses val="autoZero"/>
        <c:auto val="1"/>
        <c:lblAlgn val="ctr"/>
        <c:lblOffset val="100"/>
        <c:noMultiLvlLbl val="0"/>
      </c:catAx>
      <c:valAx>
        <c:axId val="47631360"/>
        <c:scaling>
          <c:orientation val="minMax"/>
        </c:scaling>
        <c:delete val="1"/>
        <c:axPos val="l"/>
        <c:numFmt formatCode="#,##0.0" sourceLinked="1"/>
        <c:majorTickMark val="out"/>
        <c:minorTickMark val="none"/>
        <c:tickLblPos val="nextTo"/>
        <c:crossAx val="476298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 Narrow" panose="020B0606020202030204" pitchFamily="34" charset="0"/>
          <a:cs typeface="Arial" panose="020B0604020202020204" pitchFamily="34" charset="0"/>
        </a:defRPr>
      </a:pPr>
      <a:endParaRPr lang="it-IT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 nota stampa2'!$B$3</c:f>
              <c:strCache>
                <c:ptCount val="1"/>
                <c:pt idx="0">
                  <c:v>% sotto</c:v>
                </c:pt>
              </c:strCache>
            </c:strRef>
          </c:tx>
          <c:spPr>
            <a:solidFill>
              <a:srgbClr val="17365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it-I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 nota stampa2'!$A$4:$A$18</c:f>
              <c:strCache>
                <c:ptCount val="15"/>
                <c:pt idx="0">
                  <c:v>Totale</c:v>
                </c:pt>
                <c:pt idx="2">
                  <c:v>Maschi</c:v>
                </c:pt>
                <c:pt idx="3">
                  <c:v>Femmine</c:v>
                </c:pt>
                <c:pt idx="5">
                  <c:v>15-34 anni</c:v>
                </c:pt>
                <c:pt idx="6">
                  <c:v>35-54 anni</c:v>
                </c:pt>
                <c:pt idx="7">
                  <c:v>55 anni e oltre</c:v>
                </c:pt>
                <c:pt idx="9">
                  <c:v>Nord</c:v>
                </c:pt>
                <c:pt idx="10">
                  <c:v>Centro</c:v>
                </c:pt>
                <c:pt idx="11">
                  <c:v>Mezzogiorno</c:v>
                </c:pt>
                <c:pt idx="13">
                  <c:v>Italiani</c:v>
                </c:pt>
                <c:pt idx="14">
                  <c:v>Stranieri</c:v>
                </c:pt>
              </c:strCache>
            </c:strRef>
          </c:cat>
          <c:val>
            <c:numRef>
              <c:f>'per nota stampa2'!$B$4:$B$18</c:f>
              <c:numCache>
                <c:formatCode>General</c:formatCode>
                <c:ptCount val="15"/>
                <c:pt idx="0" formatCode="0.0">
                  <c:v>4.3796761476088353</c:v>
                </c:pt>
                <c:pt idx="2" formatCode="0.0">
                  <c:v>3.8328819971159431</c:v>
                </c:pt>
                <c:pt idx="3" formatCode="0.0">
                  <c:v>5.1342256764417531</c:v>
                </c:pt>
                <c:pt idx="5" formatCode="0.0">
                  <c:v>5.4847921876299957</c:v>
                </c:pt>
                <c:pt idx="6" formatCode="0.0">
                  <c:v>4.3986273574619945</c:v>
                </c:pt>
                <c:pt idx="7" formatCode="0.0">
                  <c:v>3.1282647694954404</c:v>
                </c:pt>
                <c:pt idx="9" formatCode="0.0">
                  <c:v>3.9872489999999998</c:v>
                </c:pt>
                <c:pt idx="10" formatCode="0.0">
                  <c:v>4.4533839999999998</c:v>
                </c:pt>
                <c:pt idx="11" formatCode="0.0">
                  <c:v>5.087618</c:v>
                </c:pt>
                <c:pt idx="13" formatCode="0.0">
                  <c:v>3.8087582099116024</c:v>
                </c:pt>
                <c:pt idx="14" formatCode="0.0">
                  <c:v>9.2338241023846166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24-42EF-87B4-F1F3E34A9E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-27"/>
        <c:axId val="47619456"/>
        <c:axId val="160699520"/>
      </c:barChart>
      <c:catAx>
        <c:axId val="47619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it-IT"/>
          </a:p>
        </c:txPr>
        <c:crossAx val="160699520"/>
        <c:crosses val="autoZero"/>
        <c:auto val="1"/>
        <c:lblAlgn val="ctr"/>
        <c:lblOffset val="100"/>
        <c:noMultiLvlLbl val="0"/>
      </c:catAx>
      <c:valAx>
        <c:axId val="16069952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47619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 sz="700">
          <a:latin typeface="Arial Narrow" panose="020B0606020202030204" pitchFamily="34" charset="0"/>
        </a:defRPr>
      </a:pPr>
      <a:endParaRPr lang="it-IT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7159325396825392E-2"/>
          <c:y val="0.11562393162393163"/>
          <c:w val="0.92173769841269859"/>
          <c:h val="0.6851545599415244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'Capitolo 3'!$D$3</c:f>
              <c:strCache>
                <c:ptCount val="1"/>
                <c:pt idx="0">
                  <c:v>Ore lavorate pro capite</c:v>
                </c:pt>
              </c:strCache>
            </c:strRef>
          </c:tx>
          <c:spPr>
            <a:solidFill>
              <a:srgbClr val="19365D"/>
            </a:solidFill>
          </c:spPr>
          <c:invertIfNegative val="0"/>
          <c:cat>
            <c:multiLvlStrRef>
              <c:f>'Capitolo 3'!$A$4:$B$30</c:f>
              <c:multiLvlStrCache>
                <c:ptCount val="2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  <c:pt idx="23">
                    <c:v>IV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  <c:pt idx="24">
                    <c:v>2018</c:v>
                  </c:pt>
                </c:lvl>
              </c:multiLvlStrCache>
            </c:multiLvlStrRef>
          </c:cat>
          <c:val>
            <c:numRef>
              <c:f>'Capitolo 3'!$D$4:$D$30</c:f>
              <c:numCache>
                <c:formatCode>General</c:formatCode>
                <c:ptCount val="27"/>
                <c:pt idx="0">
                  <c:v>0.3</c:v>
                </c:pt>
                <c:pt idx="1">
                  <c:v>-2.5</c:v>
                </c:pt>
                <c:pt idx="2">
                  <c:v>-2</c:v>
                </c:pt>
                <c:pt idx="3">
                  <c:v>-2.1</c:v>
                </c:pt>
                <c:pt idx="4">
                  <c:v>-2.1</c:v>
                </c:pt>
                <c:pt idx="5">
                  <c:v>-0.7</c:v>
                </c:pt>
                <c:pt idx="6">
                  <c:v>0</c:v>
                </c:pt>
                <c:pt idx="7" formatCode="0.00">
                  <c:v>0</c:v>
                </c:pt>
                <c:pt idx="8">
                  <c:v>1.3</c:v>
                </c:pt>
                <c:pt idx="9">
                  <c:v>0.5</c:v>
                </c:pt>
                <c:pt idx="10">
                  <c:v>0.9</c:v>
                </c:pt>
                <c:pt idx="11">
                  <c:v>1.3</c:v>
                </c:pt>
                <c:pt idx="12">
                  <c:v>0.2</c:v>
                </c:pt>
                <c:pt idx="13">
                  <c:v>1.4</c:v>
                </c:pt>
                <c:pt idx="14">
                  <c:v>1.1000000000000001</c:v>
                </c:pt>
                <c:pt idx="15">
                  <c:v>0.5</c:v>
                </c:pt>
                <c:pt idx="16">
                  <c:v>1.4</c:v>
                </c:pt>
                <c:pt idx="17">
                  <c:v>1.6</c:v>
                </c:pt>
                <c:pt idx="18">
                  <c:v>0.5</c:v>
                </c:pt>
                <c:pt idx="19">
                  <c:v>0.3</c:v>
                </c:pt>
                <c:pt idx="20">
                  <c:v>-0.4</c:v>
                </c:pt>
                <c:pt idx="21">
                  <c:v>-0.8</c:v>
                </c:pt>
                <c:pt idx="22">
                  <c:v>0.4</c:v>
                </c:pt>
                <c:pt idx="23">
                  <c:v>1.2</c:v>
                </c:pt>
                <c:pt idx="24">
                  <c:v>0</c:v>
                </c:pt>
                <c:pt idx="25">
                  <c:v>-0.4</c:v>
                </c:pt>
                <c:pt idx="26">
                  <c:v>-0.1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AEA-4EE5-9B54-E4252643A803}"/>
            </c:ext>
          </c:extLst>
        </c:ser>
        <c:ser>
          <c:idx val="1"/>
          <c:order val="1"/>
          <c:tx>
            <c:strRef>
              <c:f>'Capitolo 3'!$E$3</c:f>
              <c:strCache>
                <c:ptCount val="1"/>
                <c:pt idx="0">
                  <c:v>Posizioni lavorative </c:v>
                </c:pt>
              </c:strCache>
            </c:strRef>
          </c:tx>
          <c:spPr>
            <a:solidFill>
              <a:srgbClr val="FABB00"/>
            </a:solidFill>
          </c:spPr>
          <c:invertIfNegative val="0"/>
          <c:cat>
            <c:multiLvlStrRef>
              <c:f>'Capitolo 3'!$A$4:$B$30</c:f>
              <c:multiLvlStrCache>
                <c:ptCount val="2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  <c:pt idx="23">
                    <c:v>IV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  <c:pt idx="24">
                    <c:v>2018</c:v>
                  </c:pt>
                </c:lvl>
              </c:multiLvlStrCache>
            </c:multiLvlStrRef>
          </c:cat>
          <c:val>
            <c:numRef>
              <c:f>'Capitolo 3'!$E$4:$E$30</c:f>
              <c:numCache>
                <c:formatCode>General</c:formatCode>
                <c:ptCount val="27"/>
                <c:pt idx="0">
                  <c:v>0</c:v>
                </c:pt>
                <c:pt idx="1">
                  <c:v>0</c:v>
                </c:pt>
                <c:pt idx="2">
                  <c:v>-0.8</c:v>
                </c:pt>
                <c:pt idx="3">
                  <c:v>-1.8</c:v>
                </c:pt>
                <c:pt idx="4">
                  <c:v>-1.8</c:v>
                </c:pt>
                <c:pt idx="5">
                  <c:v>-2.4</c:v>
                </c:pt>
                <c:pt idx="6">
                  <c:v>-2.1</c:v>
                </c:pt>
                <c:pt idx="7">
                  <c:v>-1.3</c:v>
                </c:pt>
                <c:pt idx="8">
                  <c:v>-1</c:v>
                </c:pt>
                <c:pt idx="9">
                  <c:v>-0.3</c:v>
                </c:pt>
                <c:pt idx="10">
                  <c:v>0.3</c:v>
                </c:pt>
                <c:pt idx="11">
                  <c:v>0.1</c:v>
                </c:pt>
                <c:pt idx="12">
                  <c:v>1.3</c:v>
                </c:pt>
                <c:pt idx="13">
                  <c:v>1.9</c:v>
                </c:pt>
                <c:pt idx="14">
                  <c:v>2.4</c:v>
                </c:pt>
                <c:pt idx="15">
                  <c:v>3.8</c:v>
                </c:pt>
                <c:pt idx="16">
                  <c:v>3.2</c:v>
                </c:pt>
                <c:pt idx="17">
                  <c:v>2.4</c:v>
                </c:pt>
                <c:pt idx="18">
                  <c:v>2.7</c:v>
                </c:pt>
                <c:pt idx="19">
                  <c:v>2.2999999999999998</c:v>
                </c:pt>
                <c:pt idx="20">
                  <c:v>2.8</c:v>
                </c:pt>
                <c:pt idx="21">
                  <c:v>4.3</c:v>
                </c:pt>
                <c:pt idx="22">
                  <c:v>4.4000000000000004</c:v>
                </c:pt>
                <c:pt idx="23">
                  <c:v>4.2</c:v>
                </c:pt>
                <c:pt idx="24">
                  <c:v>4.0999999999999996</c:v>
                </c:pt>
                <c:pt idx="25">
                  <c:v>3.8</c:v>
                </c:pt>
                <c:pt idx="26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AEA-4EE5-9B54-E4252643A8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160963968"/>
        <c:axId val="160970240"/>
      </c:barChart>
      <c:lineChart>
        <c:grouping val="stacked"/>
        <c:varyColors val="0"/>
        <c:ser>
          <c:idx val="2"/>
          <c:order val="2"/>
          <c:tx>
            <c:strRef>
              <c:f>'Capitolo 3'!$C$3</c:f>
              <c:strCache>
                <c:ptCount val="1"/>
                <c:pt idx="0">
                  <c:v>Monte ore </c:v>
                </c:pt>
              </c:strCache>
            </c:strRef>
          </c:tx>
          <c:spPr>
            <a:ln w="25400">
              <a:solidFill>
                <a:srgbClr val="AB273B"/>
              </a:solidFill>
            </a:ln>
          </c:spPr>
          <c:marker>
            <c:symbol val="circle"/>
            <c:size val="6"/>
            <c:spPr>
              <a:solidFill>
                <a:srgbClr val="C00000"/>
              </a:solidFill>
              <a:ln>
                <a:noFill/>
              </a:ln>
            </c:spPr>
          </c:marker>
          <c:cat>
            <c:multiLvlStrRef>
              <c:f>'Capitolo 3'!$A$4:$B$30</c:f>
              <c:multiLvlStrCache>
                <c:ptCount val="2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  <c:pt idx="23">
                    <c:v>IV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  <c:pt idx="24">
                    <c:v>2018</c:v>
                  </c:pt>
                </c:lvl>
              </c:multiLvlStrCache>
            </c:multiLvlStrRef>
          </c:cat>
          <c:val>
            <c:numRef>
              <c:f>'Capitolo 3'!$C$4:$C$30</c:f>
              <c:numCache>
                <c:formatCode>General</c:formatCode>
                <c:ptCount val="27"/>
                <c:pt idx="0">
                  <c:v>0.3</c:v>
                </c:pt>
                <c:pt idx="1">
                  <c:v>-2.5</c:v>
                </c:pt>
                <c:pt idx="2">
                  <c:v>-2.8</c:v>
                </c:pt>
                <c:pt idx="3">
                  <c:v>-3.8</c:v>
                </c:pt>
                <c:pt idx="4">
                  <c:v>-3.9</c:v>
                </c:pt>
                <c:pt idx="5">
                  <c:v>-3</c:v>
                </c:pt>
                <c:pt idx="6">
                  <c:v>-2</c:v>
                </c:pt>
                <c:pt idx="7">
                  <c:v>-1.3</c:v>
                </c:pt>
                <c:pt idx="8">
                  <c:v>0.3</c:v>
                </c:pt>
                <c:pt idx="9">
                  <c:v>0.2</c:v>
                </c:pt>
                <c:pt idx="10">
                  <c:v>1.1000000000000001</c:v>
                </c:pt>
                <c:pt idx="11">
                  <c:v>1.4</c:v>
                </c:pt>
                <c:pt idx="12">
                  <c:v>1.4</c:v>
                </c:pt>
                <c:pt idx="13">
                  <c:v>3.3</c:v>
                </c:pt>
                <c:pt idx="14">
                  <c:v>3.6</c:v>
                </c:pt>
                <c:pt idx="15">
                  <c:v>4.3</c:v>
                </c:pt>
                <c:pt idx="16">
                  <c:v>4.5999999999999996</c:v>
                </c:pt>
                <c:pt idx="17">
                  <c:v>4</c:v>
                </c:pt>
                <c:pt idx="18">
                  <c:v>3.2</c:v>
                </c:pt>
                <c:pt idx="19">
                  <c:v>2.6</c:v>
                </c:pt>
                <c:pt idx="20">
                  <c:v>2.4</c:v>
                </c:pt>
                <c:pt idx="21">
                  <c:v>3.5</c:v>
                </c:pt>
                <c:pt idx="22">
                  <c:v>4.9000000000000004</c:v>
                </c:pt>
                <c:pt idx="23">
                  <c:v>5.3</c:v>
                </c:pt>
                <c:pt idx="24">
                  <c:v>4.0999999999999996</c:v>
                </c:pt>
                <c:pt idx="25">
                  <c:v>3.4</c:v>
                </c:pt>
                <c:pt idx="26">
                  <c:v>3.2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AEA-4EE5-9B54-E4252643A8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963968"/>
        <c:axId val="160970240"/>
      </c:lineChart>
      <c:catAx>
        <c:axId val="1609639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noFill/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c:spPr>
        <c:crossAx val="160970240"/>
        <c:crosses val="autoZero"/>
        <c:auto val="1"/>
        <c:lblAlgn val="ctr"/>
        <c:lblOffset val="100"/>
        <c:noMultiLvlLbl val="0"/>
      </c:catAx>
      <c:valAx>
        <c:axId val="160970240"/>
        <c:scaling>
          <c:orientation val="minMax"/>
          <c:max val="8"/>
        </c:scaling>
        <c:delete val="0"/>
        <c:axPos val="l"/>
        <c:numFmt formatCode="#,##0.0" sourceLinked="0"/>
        <c:majorTickMark val="out"/>
        <c:minorTickMark val="none"/>
        <c:tickLblPos val="nextTo"/>
        <c:spPr>
          <a:noFill/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c:spPr>
        <c:crossAx val="160963968"/>
        <c:crosses val="autoZero"/>
        <c:crossBetween val="between"/>
      </c:valAx>
      <c:spPr>
        <a:noFill/>
        <a:extLst>
          <a:ext uri="{909E8E84-426E-40DD-AFC4-6F175D3DCCD1}">
            <a14:hiddenFill xmlns:a14="http://schemas.microsoft.com/office/drawing/2010/main">
              <a:solidFill>
                <a:sysClr val="window" lastClr="FFFFFF"/>
              </a:solidFill>
            </a14:hiddenFill>
          </a:ext>
        </a:extLst>
      </c:spPr>
    </c:plotArea>
    <c:legend>
      <c:legendPos val="b"/>
      <c:layout>
        <c:manualLayout>
          <c:xMode val="edge"/>
          <c:yMode val="edge"/>
          <c:x val="1.9388524871178116E-2"/>
          <c:y val="4.0616461403862915E-3"/>
          <c:w val="0.9784829365079365"/>
          <c:h val="7.489305555555556E-2"/>
        </c:manualLayout>
      </c:layout>
      <c:overlay val="0"/>
      <c:spPr>
        <a:noFill/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Arial Narrow" panose="020B0606020202030204" pitchFamily="34" charset="0"/>
        </a:defRPr>
      </a:pPr>
      <a:endParaRPr lang="it-IT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821738141763116"/>
          <c:y val="8.9574543119075339E-2"/>
          <c:w val="0.81819239713240377"/>
          <c:h val="0.677557164144107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'Capitolo 4a'!$B$3</c:f>
              <c:strCache>
                <c:ptCount val="1"/>
                <c:pt idx="0">
                  <c:v>Assunzioni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'Capitolo 4a'!$A$4:$A$8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2018*</c:v>
                </c:pt>
              </c:strCache>
            </c:strRef>
          </c:cat>
          <c:val>
            <c:numRef>
              <c:f>'Capitolo 4a'!$B$4:$B$8</c:f>
              <c:numCache>
                <c:formatCode>0.0</c:formatCode>
                <c:ptCount val="5"/>
                <c:pt idx="0">
                  <c:v>18.226167580328063</c:v>
                </c:pt>
                <c:pt idx="1">
                  <c:v>57.29210106709187</c:v>
                </c:pt>
                <c:pt idx="2">
                  <c:v>33.805010709029162</c:v>
                </c:pt>
                <c:pt idx="3">
                  <c:v>9.6748802190280632</c:v>
                </c:pt>
                <c:pt idx="4">
                  <c:v>13.001918538515087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950-45A7-AADB-D04745E5699A}"/>
            </c:ext>
          </c:extLst>
        </c:ser>
        <c:ser>
          <c:idx val="1"/>
          <c:order val="1"/>
          <c:tx>
            <c:strRef>
              <c:f>'Capitolo 4a'!$C$3</c:f>
              <c:strCache>
                <c:ptCount val="1"/>
                <c:pt idx="0">
                  <c:v>Trasformazioni da tempo determinato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'Capitolo 4a'!$A$4:$A$8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2018*</c:v>
                </c:pt>
              </c:strCache>
            </c:strRef>
          </c:cat>
          <c:val>
            <c:numRef>
              <c:f>'Capitolo 4a'!$C$4:$C$8</c:f>
              <c:numCache>
                <c:formatCode>0.0</c:formatCode>
                <c:ptCount val="5"/>
                <c:pt idx="0">
                  <c:v>6.9374083082695952</c:v>
                </c:pt>
                <c:pt idx="1">
                  <c:v>75.875066909725206</c:v>
                </c:pt>
                <c:pt idx="2">
                  <c:v>63.181828727871746</c:v>
                </c:pt>
                <c:pt idx="3">
                  <c:v>9.8286102038788048</c:v>
                </c:pt>
                <c:pt idx="4">
                  <c:v>19.895547510894879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950-45A7-AADB-D04745E569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6"/>
        <c:overlap val="-2"/>
        <c:axId val="164463360"/>
        <c:axId val="164464896"/>
      </c:barChart>
      <c:lineChart>
        <c:grouping val="standard"/>
        <c:varyColors val="0"/>
        <c:ser>
          <c:idx val="2"/>
          <c:order val="2"/>
          <c:tx>
            <c:strRef>
              <c:f>'Capitolo 4a'!$D$3</c:f>
              <c:strCache>
                <c:ptCount val="1"/>
                <c:pt idx="0">
                  <c:v>Totale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8"/>
            <c:spPr>
              <a:solidFill>
                <a:schemeClr val="accent3"/>
              </a:solidFill>
              <a:ln w="190500">
                <a:solidFill>
                  <a:schemeClr val="accent3"/>
                </a:solidFill>
              </a:ln>
              <a:effectLst/>
            </c:spPr>
          </c:marker>
          <c:dLbls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'Capitolo 4a'!$A$4:$A$8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2018*</c:v>
                </c:pt>
              </c:strCache>
            </c:strRef>
          </c:cat>
          <c:val>
            <c:numRef>
              <c:f>'Capitolo 4a'!$D$4:$D$8</c:f>
              <c:numCache>
                <c:formatCode>0.0</c:formatCode>
                <c:ptCount val="5"/>
                <c:pt idx="0">
                  <c:v>15.916282002147755</c:v>
                </c:pt>
                <c:pt idx="1">
                  <c:v>61.277981487116527</c:v>
                </c:pt>
                <c:pt idx="2">
                  <c:v>40.213237205989067</c:v>
                </c:pt>
                <c:pt idx="3">
                  <c:v>9.7062187231682078</c:v>
                </c:pt>
                <c:pt idx="4">
                  <c:v>14.856949623682267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950-45A7-AADB-D04745E569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4463360"/>
        <c:axId val="164464896"/>
      </c:lineChart>
      <c:catAx>
        <c:axId val="164463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it-IT"/>
          </a:p>
        </c:txPr>
        <c:crossAx val="164464896"/>
        <c:crosses val="autoZero"/>
        <c:auto val="1"/>
        <c:lblAlgn val="ctr"/>
        <c:lblOffset val="100"/>
        <c:noMultiLvlLbl val="0"/>
      </c:catAx>
      <c:valAx>
        <c:axId val="164464896"/>
        <c:scaling>
          <c:orientation val="minMax"/>
        </c:scaling>
        <c:delete val="0"/>
        <c:axPos val="l"/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it-IT"/>
          </a:p>
        </c:txPr>
        <c:crossAx val="164463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608681839842065"/>
          <c:w val="0.99067104497400382"/>
          <c:h val="0.10068407900585294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latin typeface="Arial Narrow" panose="020B0606020202030204" pitchFamily="34" charset="0"/>
          <a:cs typeface="Arial" panose="020B0604020202020204" pitchFamily="34" charset="0"/>
        </a:defRPr>
      </a:pPr>
      <a:endParaRPr lang="it-IT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'Capitolo 4a'!$B$13</c:f>
              <c:strCache>
                <c:ptCount val="1"/>
                <c:pt idx="0">
                  <c:v> Aziende incentivate (%)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'Capitolo 4a'!$A$14:$A$17</c:f>
              <c:strCache>
                <c:ptCount val="4"/>
                <c:pt idx="0">
                  <c:v>Fino a 10 addetti</c:v>
                </c:pt>
                <c:pt idx="1">
                  <c:v>11- 50 addetti</c:v>
                </c:pt>
                <c:pt idx="2">
                  <c:v>51-250 addetti</c:v>
                </c:pt>
                <c:pt idx="3">
                  <c:v>Oltre 250 addetti</c:v>
                </c:pt>
              </c:strCache>
            </c:strRef>
          </c:cat>
          <c:val>
            <c:numRef>
              <c:f>'Capitolo 4a'!$B$14:$B$17</c:f>
              <c:numCache>
                <c:formatCode>0.0</c:formatCode>
                <c:ptCount val="4"/>
                <c:pt idx="0">
                  <c:v>37.6145903695841</c:v>
                </c:pt>
                <c:pt idx="1">
                  <c:v>72.262295503156963</c:v>
                </c:pt>
                <c:pt idx="2">
                  <c:v>83.657273807502975</c:v>
                </c:pt>
                <c:pt idx="3">
                  <c:v>86.825160970777617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36-46F3-9FAC-1680BC6B4268}"/>
            </c:ext>
          </c:extLst>
        </c:ser>
        <c:ser>
          <c:idx val="1"/>
          <c:order val="1"/>
          <c:tx>
            <c:strRef>
              <c:f>'Capitolo 4a'!$C$13</c:f>
              <c:strCache>
                <c:ptCount val="1"/>
                <c:pt idx="0">
                  <c:v>Dipendenti incentivati (%)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'Capitolo 4a'!$A$14:$A$17</c:f>
              <c:strCache>
                <c:ptCount val="4"/>
                <c:pt idx="0">
                  <c:v>Fino a 10 addetti</c:v>
                </c:pt>
                <c:pt idx="1">
                  <c:v>11- 50 addetti</c:v>
                </c:pt>
                <c:pt idx="2">
                  <c:v>51-250 addetti</c:v>
                </c:pt>
                <c:pt idx="3">
                  <c:v>Oltre 250 addetti</c:v>
                </c:pt>
              </c:strCache>
            </c:strRef>
          </c:cat>
          <c:val>
            <c:numRef>
              <c:f>'Capitolo 4a'!$C$14:$C$17</c:f>
              <c:numCache>
                <c:formatCode>0.0</c:formatCode>
                <c:ptCount val="4"/>
                <c:pt idx="0">
                  <c:v>19.133532119034285</c:v>
                </c:pt>
                <c:pt idx="1">
                  <c:v>13.53578989364733</c:v>
                </c:pt>
                <c:pt idx="2">
                  <c:v>9.7478679815941582</c:v>
                </c:pt>
                <c:pt idx="3">
                  <c:v>4.4281349574510545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736-46F3-9FAC-1680BC6B42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9"/>
        <c:axId val="164381056"/>
        <c:axId val="164382592"/>
      </c:barChart>
      <c:catAx>
        <c:axId val="1643810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it-IT"/>
          </a:p>
        </c:txPr>
        <c:crossAx val="164382592"/>
        <c:crosses val="autoZero"/>
        <c:auto val="1"/>
        <c:lblAlgn val="ctr"/>
        <c:lblOffset val="100"/>
        <c:noMultiLvlLbl val="0"/>
      </c:catAx>
      <c:valAx>
        <c:axId val="164382592"/>
        <c:scaling>
          <c:orientation val="minMax"/>
        </c:scaling>
        <c:delete val="0"/>
        <c:axPos val="b"/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it-IT"/>
          </a:p>
        </c:txPr>
        <c:crossAx val="164381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latin typeface="Arial Narrow" panose="020B0606020202030204" pitchFamily="34" charset="0"/>
          <a:cs typeface="Arial" panose="020B0604020202020204" pitchFamily="34" charset="0"/>
        </a:defRPr>
      </a:pPr>
      <a:endParaRPr lang="it-IT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157986963411246"/>
          <c:y val="0.10116993464052289"/>
          <c:w val="0.84336875796005861"/>
          <c:h val="0.64560546056003354"/>
        </c:manualLayout>
      </c:layout>
      <c:lineChart>
        <c:grouping val="standard"/>
        <c:varyColors val="0"/>
        <c:ser>
          <c:idx val="0"/>
          <c:order val="0"/>
          <c:tx>
            <c:strRef>
              <c:f>'Capitolo 5'!$AF$2</c:f>
              <c:strCache>
                <c:ptCount val="1"/>
                <c:pt idx="0">
                  <c:v>2010</c:v>
                </c:pt>
              </c:strCache>
            </c:strRef>
          </c:tx>
          <c:spPr>
            <a:ln w="25400" cap="rnd">
              <a:solidFill>
                <a:srgbClr val="53822C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'Capitolo 5'!$A$3:$A$39</c:f>
              <c:strCache>
                <c:ptCount val="37"/>
                <c:pt idx="1">
                  <c:v>1 mesi</c:v>
                </c:pt>
                <c:pt idx="2">
                  <c:v>2 mesi</c:v>
                </c:pt>
                <c:pt idx="3">
                  <c:v>3 mesi</c:v>
                </c:pt>
                <c:pt idx="4">
                  <c:v>4 mesi</c:v>
                </c:pt>
                <c:pt idx="5">
                  <c:v>5 mesi</c:v>
                </c:pt>
                <c:pt idx="6">
                  <c:v>6 mesi</c:v>
                </c:pt>
                <c:pt idx="7">
                  <c:v>7 mesi</c:v>
                </c:pt>
                <c:pt idx="8">
                  <c:v>8 mesi</c:v>
                </c:pt>
                <c:pt idx="9">
                  <c:v>9 mesi</c:v>
                </c:pt>
                <c:pt idx="10">
                  <c:v>10 mesi</c:v>
                </c:pt>
                <c:pt idx="11">
                  <c:v>11 mesi</c:v>
                </c:pt>
                <c:pt idx="12">
                  <c:v>12 mesi</c:v>
                </c:pt>
                <c:pt idx="13">
                  <c:v>13 mesi</c:v>
                </c:pt>
                <c:pt idx="14">
                  <c:v>14 mesi</c:v>
                </c:pt>
                <c:pt idx="15">
                  <c:v>15 mesi</c:v>
                </c:pt>
                <c:pt idx="16">
                  <c:v>16 mesi</c:v>
                </c:pt>
                <c:pt idx="17">
                  <c:v>17 mesi</c:v>
                </c:pt>
                <c:pt idx="18">
                  <c:v>18 mesi</c:v>
                </c:pt>
                <c:pt idx="19">
                  <c:v>19 mesi</c:v>
                </c:pt>
                <c:pt idx="20">
                  <c:v>20 mesi</c:v>
                </c:pt>
                <c:pt idx="21">
                  <c:v>21 mesi</c:v>
                </c:pt>
                <c:pt idx="22">
                  <c:v>22 mesi</c:v>
                </c:pt>
                <c:pt idx="23">
                  <c:v>23 mesi</c:v>
                </c:pt>
                <c:pt idx="24">
                  <c:v>24 mesi</c:v>
                </c:pt>
                <c:pt idx="25">
                  <c:v>25 mesi</c:v>
                </c:pt>
                <c:pt idx="26">
                  <c:v>26 mesi</c:v>
                </c:pt>
                <c:pt idx="27">
                  <c:v>27 mesi</c:v>
                </c:pt>
                <c:pt idx="28">
                  <c:v>28 mesi</c:v>
                </c:pt>
                <c:pt idx="29">
                  <c:v>29 mesi</c:v>
                </c:pt>
                <c:pt idx="30">
                  <c:v>30 mesi</c:v>
                </c:pt>
                <c:pt idx="31">
                  <c:v>31 mesi</c:v>
                </c:pt>
                <c:pt idx="32">
                  <c:v>32 mesi</c:v>
                </c:pt>
                <c:pt idx="33">
                  <c:v>33 mesi</c:v>
                </c:pt>
                <c:pt idx="34">
                  <c:v>34 mesi</c:v>
                </c:pt>
                <c:pt idx="35">
                  <c:v>35 mesi</c:v>
                </c:pt>
                <c:pt idx="36">
                  <c:v>36 mesi</c:v>
                </c:pt>
              </c:strCache>
            </c:strRef>
          </c:cat>
          <c:val>
            <c:numRef>
              <c:f>'Capitolo 5'!$AF$3:$AF$39</c:f>
              <c:numCache>
                <c:formatCode>0.0</c:formatCode>
                <c:ptCount val="37"/>
                <c:pt idx="0" formatCode="General">
                  <c:v>0</c:v>
                </c:pt>
                <c:pt idx="1">
                  <c:v>1.0924159269870013</c:v>
                </c:pt>
                <c:pt idx="2">
                  <c:v>2.0181328830204244</c:v>
                </c:pt>
                <c:pt idx="3">
                  <c:v>3.0493919271144483</c:v>
                </c:pt>
                <c:pt idx="4">
                  <c:v>3.9913937839471592</c:v>
                </c:pt>
                <c:pt idx="5">
                  <c:v>4.8689198243000815</c:v>
                </c:pt>
                <c:pt idx="6">
                  <c:v>5.9562024673394811</c:v>
                </c:pt>
                <c:pt idx="7">
                  <c:v>6.8741752450036779</c:v>
                </c:pt>
                <c:pt idx="8">
                  <c:v>7.6336136283378515</c:v>
                </c:pt>
                <c:pt idx="9">
                  <c:v>8.3668545625601283</c:v>
                </c:pt>
                <c:pt idx="10">
                  <c:v>9.072570474235782</c:v>
                </c:pt>
                <c:pt idx="11">
                  <c:v>9.9956986620714936</c:v>
                </c:pt>
                <c:pt idx="12">
                  <c:v>12.603252023885702</c:v>
                </c:pt>
                <c:pt idx="13">
                  <c:v>13.795921871418319</c:v>
                </c:pt>
                <c:pt idx="14">
                  <c:v>14.316928065875965</c:v>
                </c:pt>
                <c:pt idx="15">
                  <c:v>14.81788790146927</c:v>
                </c:pt>
                <c:pt idx="16">
                  <c:v>15.271032967188582</c:v>
                </c:pt>
                <c:pt idx="17">
                  <c:v>15.71734102971906</c:v>
                </c:pt>
                <c:pt idx="18">
                  <c:v>16.273505793972994</c:v>
                </c:pt>
                <c:pt idx="19">
                  <c:v>16.818231300464387</c:v>
                </c:pt>
                <c:pt idx="20">
                  <c:v>17.220397546290275</c:v>
                </c:pt>
                <c:pt idx="21">
                  <c:v>17.567358863455532</c:v>
                </c:pt>
                <c:pt idx="22">
                  <c:v>17.929675780015771</c:v>
                </c:pt>
                <c:pt idx="23">
                  <c:v>18.366093420457553</c:v>
                </c:pt>
                <c:pt idx="24">
                  <c:v>19.32681406271988</c:v>
                </c:pt>
                <c:pt idx="25">
                  <c:v>19.807174383851045</c:v>
                </c:pt>
                <c:pt idx="26">
                  <c:v>20.121942045224234</c:v>
                </c:pt>
                <c:pt idx="27">
                  <c:v>20.40141837945766</c:v>
                </c:pt>
                <c:pt idx="28">
                  <c:v>20.663038850994045</c:v>
                </c:pt>
                <c:pt idx="29">
                  <c:v>20.906604323818172</c:v>
                </c:pt>
                <c:pt idx="30">
                  <c:v>21.158821150191923</c:v>
                </c:pt>
                <c:pt idx="31">
                  <c:v>21.38742929565149</c:v>
                </c:pt>
                <c:pt idx="32">
                  <c:v>21.638938082860054</c:v>
                </c:pt>
                <c:pt idx="33">
                  <c:v>21.830750317953839</c:v>
                </c:pt>
                <c:pt idx="34">
                  <c:v>22.029311051340805</c:v>
                </c:pt>
                <c:pt idx="35">
                  <c:v>22.266194404543487</c:v>
                </c:pt>
                <c:pt idx="36">
                  <c:v>22.851145386107035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5DF-4EDE-8A63-D602C37FD27E}"/>
            </c:ext>
          </c:extLst>
        </c:ser>
        <c:ser>
          <c:idx val="1"/>
          <c:order val="1"/>
          <c:tx>
            <c:strRef>
              <c:f>'Capitolo 5'!$AG$2</c:f>
              <c:strCache>
                <c:ptCount val="1"/>
                <c:pt idx="0">
                  <c:v>2014</c:v>
                </c:pt>
              </c:strCache>
            </c:strRef>
          </c:tx>
          <c:spPr>
            <a:ln w="25400" cap="rnd">
              <a:solidFill>
                <a:srgbClr val="53822C"/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'Capitolo 5'!$A$3:$A$39</c:f>
              <c:strCache>
                <c:ptCount val="37"/>
                <c:pt idx="1">
                  <c:v>1 mesi</c:v>
                </c:pt>
                <c:pt idx="2">
                  <c:v>2 mesi</c:v>
                </c:pt>
                <c:pt idx="3">
                  <c:v>3 mesi</c:v>
                </c:pt>
                <c:pt idx="4">
                  <c:v>4 mesi</c:v>
                </c:pt>
                <c:pt idx="5">
                  <c:v>5 mesi</c:v>
                </c:pt>
                <c:pt idx="6">
                  <c:v>6 mesi</c:v>
                </c:pt>
                <c:pt idx="7">
                  <c:v>7 mesi</c:v>
                </c:pt>
                <c:pt idx="8">
                  <c:v>8 mesi</c:v>
                </c:pt>
                <c:pt idx="9">
                  <c:v>9 mesi</c:v>
                </c:pt>
                <c:pt idx="10">
                  <c:v>10 mesi</c:v>
                </c:pt>
                <c:pt idx="11">
                  <c:v>11 mesi</c:v>
                </c:pt>
                <c:pt idx="12">
                  <c:v>12 mesi</c:v>
                </c:pt>
                <c:pt idx="13">
                  <c:v>13 mesi</c:v>
                </c:pt>
                <c:pt idx="14">
                  <c:v>14 mesi</c:v>
                </c:pt>
                <c:pt idx="15">
                  <c:v>15 mesi</c:v>
                </c:pt>
                <c:pt idx="16">
                  <c:v>16 mesi</c:v>
                </c:pt>
                <c:pt idx="17">
                  <c:v>17 mesi</c:v>
                </c:pt>
                <c:pt idx="18">
                  <c:v>18 mesi</c:v>
                </c:pt>
                <c:pt idx="19">
                  <c:v>19 mesi</c:v>
                </c:pt>
                <c:pt idx="20">
                  <c:v>20 mesi</c:v>
                </c:pt>
                <c:pt idx="21">
                  <c:v>21 mesi</c:v>
                </c:pt>
                <c:pt idx="22">
                  <c:v>22 mesi</c:v>
                </c:pt>
                <c:pt idx="23">
                  <c:v>23 mesi</c:v>
                </c:pt>
                <c:pt idx="24">
                  <c:v>24 mesi</c:v>
                </c:pt>
                <c:pt idx="25">
                  <c:v>25 mesi</c:v>
                </c:pt>
                <c:pt idx="26">
                  <c:v>26 mesi</c:v>
                </c:pt>
                <c:pt idx="27">
                  <c:v>27 mesi</c:v>
                </c:pt>
                <c:pt idx="28">
                  <c:v>28 mesi</c:v>
                </c:pt>
                <c:pt idx="29">
                  <c:v>29 mesi</c:v>
                </c:pt>
                <c:pt idx="30">
                  <c:v>30 mesi</c:v>
                </c:pt>
                <c:pt idx="31">
                  <c:v>31 mesi</c:v>
                </c:pt>
                <c:pt idx="32">
                  <c:v>32 mesi</c:v>
                </c:pt>
                <c:pt idx="33">
                  <c:v>33 mesi</c:v>
                </c:pt>
                <c:pt idx="34">
                  <c:v>34 mesi</c:v>
                </c:pt>
                <c:pt idx="35">
                  <c:v>35 mesi</c:v>
                </c:pt>
                <c:pt idx="36">
                  <c:v>36 mesi</c:v>
                </c:pt>
              </c:strCache>
            </c:strRef>
          </c:cat>
          <c:val>
            <c:numRef>
              <c:f>'Capitolo 5'!$AG$3:$AG$39</c:f>
              <c:numCache>
                <c:formatCode>0.0</c:formatCode>
                <c:ptCount val="37"/>
                <c:pt idx="0" formatCode="General">
                  <c:v>0</c:v>
                </c:pt>
                <c:pt idx="1">
                  <c:v>1.0491963199680503</c:v>
                </c:pt>
                <c:pt idx="2">
                  <c:v>1.8568279950298152</c:v>
                </c:pt>
                <c:pt idx="3">
                  <c:v>2.7579663020710821</c:v>
                </c:pt>
                <c:pt idx="4">
                  <c:v>3.6571638613118242</c:v>
                </c:pt>
                <c:pt idx="5">
                  <c:v>4.5164708693755147</c:v>
                </c:pt>
                <c:pt idx="6">
                  <c:v>5.5845602522691555</c:v>
                </c:pt>
                <c:pt idx="7">
                  <c:v>6.6093686209607316</c:v>
                </c:pt>
                <c:pt idx="8">
                  <c:v>7.5086830927195773</c:v>
                </c:pt>
                <c:pt idx="9">
                  <c:v>8.4024792936239194</c:v>
                </c:pt>
                <c:pt idx="10">
                  <c:v>9.3600395819021305</c:v>
                </c:pt>
                <c:pt idx="11">
                  <c:v>10.543147500106391</c:v>
                </c:pt>
                <c:pt idx="12">
                  <c:v>13.146532070740491</c:v>
                </c:pt>
                <c:pt idx="13">
                  <c:v>14.882963554626908</c:v>
                </c:pt>
                <c:pt idx="14">
                  <c:v>15.984232710158436</c:v>
                </c:pt>
                <c:pt idx="15">
                  <c:v>17.048838100012581</c:v>
                </c:pt>
                <c:pt idx="16">
                  <c:v>17.8934375132988</c:v>
                </c:pt>
                <c:pt idx="17">
                  <c:v>18.620376168365251</c:v>
                </c:pt>
                <c:pt idx="18">
                  <c:v>19.428592406017536</c:v>
                </c:pt>
                <c:pt idx="19">
                  <c:v>20.141922443976693</c:v>
                </c:pt>
                <c:pt idx="20">
                  <c:v>20.883030896237337</c:v>
                </c:pt>
                <c:pt idx="21">
                  <c:v>21.548543714291995</c:v>
                </c:pt>
                <c:pt idx="22">
                  <c:v>22.399152431008755</c:v>
                </c:pt>
                <c:pt idx="23">
                  <c:v>23.177439064026441</c:v>
                </c:pt>
                <c:pt idx="24">
                  <c:v>24.169465162641682</c:v>
                </c:pt>
                <c:pt idx="25">
                  <c:v>24.461746457901441</c:v>
                </c:pt>
                <c:pt idx="26">
                  <c:v>24.670224860184323</c:v>
                </c:pt>
                <c:pt idx="27">
                  <c:v>24.882584758068251</c:v>
                </c:pt>
                <c:pt idx="28">
                  <c:v>25.074438200276756</c:v>
                </c:pt>
                <c:pt idx="29">
                  <c:v>25.247749317113982</c:v>
                </c:pt>
                <c:pt idx="30">
                  <c:v>25.484707608806975</c:v>
                </c:pt>
                <c:pt idx="31">
                  <c:v>25.663560379002327</c:v>
                </c:pt>
                <c:pt idx="32">
                  <c:v>25.9101756446907</c:v>
                </c:pt>
                <c:pt idx="33">
                  <c:v>26.064102666026301</c:v>
                </c:pt>
                <c:pt idx="34">
                  <c:v>26.263555421911558</c:v>
                </c:pt>
                <c:pt idx="35">
                  <c:v>26.503226084024561</c:v>
                </c:pt>
                <c:pt idx="36">
                  <c:v>27.044390747823908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5DF-4EDE-8A63-D602C37FD2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984064"/>
        <c:axId val="164389632"/>
      </c:lineChart>
      <c:catAx>
        <c:axId val="160984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100000" vert="horz"/>
          <a:lstStyle/>
          <a:p>
            <a:pPr>
              <a:defRPr/>
            </a:pPr>
            <a:endParaRPr lang="it-IT"/>
          </a:p>
        </c:txPr>
        <c:crossAx val="164389632"/>
        <c:crosses val="autoZero"/>
        <c:auto val="1"/>
        <c:lblAlgn val="ctr"/>
        <c:lblOffset val="100"/>
        <c:tickLblSkip val="3"/>
        <c:noMultiLvlLbl val="0"/>
      </c:catAx>
      <c:valAx>
        <c:axId val="164389632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it-IT"/>
          </a:p>
        </c:txPr>
        <c:crossAx val="16098406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789961528781504"/>
          <c:y val="0.93029873989640544"/>
          <c:w val="0.73412375507856042"/>
          <c:h val="6.4973125955632233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latin typeface="Arial Narrow" panose="020B0606020202030204" pitchFamily="34" charset="0"/>
          <a:cs typeface="Arial" panose="020B0604020202020204" pitchFamily="34" charset="0"/>
        </a:defRPr>
      </a:pPr>
      <a:endParaRPr lang="it-IT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303034646352087E-2"/>
          <c:y val="9.4643339700880569E-2"/>
          <c:w val="0.85283276450511947"/>
          <c:h val="0.65196384475609193"/>
        </c:manualLayout>
      </c:layout>
      <c:lineChart>
        <c:grouping val="standard"/>
        <c:varyColors val="0"/>
        <c:ser>
          <c:idx val="0"/>
          <c:order val="0"/>
          <c:tx>
            <c:strRef>
              <c:f>'Capitolo 5'!$Y$2</c:f>
              <c:strCache>
                <c:ptCount val="1"/>
                <c:pt idx="0">
                  <c:v>Nord-ovest</c:v>
                </c:pt>
              </c:strCache>
            </c:strRef>
          </c:tx>
          <c:spPr>
            <a:ln w="25400" cap="rnd">
              <a:solidFill>
                <a:srgbClr val="17365D"/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'Capitolo 5'!$A$3:$A$39</c:f>
              <c:strCache>
                <c:ptCount val="37"/>
                <c:pt idx="1">
                  <c:v>1 mesi</c:v>
                </c:pt>
                <c:pt idx="2">
                  <c:v>2 mesi</c:v>
                </c:pt>
                <c:pt idx="3">
                  <c:v>3 mesi</c:v>
                </c:pt>
                <c:pt idx="4">
                  <c:v>4 mesi</c:v>
                </c:pt>
                <c:pt idx="5">
                  <c:v>5 mesi</c:v>
                </c:pt>
                <c:pt idx="6">
                  <c:v>6 mesi</c:v>
                </c:pt>
                <c:pt idx="7">
                  <c:v>7 mesi</c:v>
                </c:pt>
                <c:pt idx="8">
                  <c:v>8 mesi</c:v>
                </c:pt>
                <c:pt idx="9">
                  <c:v>9 mesi</c:v>
                </c:pt>
                <c:pt idx="10">
                  <c:v>10 mesi</c:v>
                </c:pt>
                <c:pt idx="11">
                  <c:v>11 mesi</c:v>
                </c:pt>
                <c:pt idx="12">
                  <c:v>12 mesi</c:v>
                </c:pt>
                <c:pt idx="13">
                  <c:v>13 mesi</c:v>
                </c:pt>
                <c:pt idx="14">
                  <c:v>14 mesi</c:v>
                </c:pt>
                <c:pt idx="15">
                  <c:v>15 mesi</c:v>
                </c:pt>
                <c:pt idx="16">
                  <c:v>16 mesi</c:v>
                </c:pt>
                <c:pt idx="17">
                  <c:v>17 mesi</c:v>
                </c:pt>
                <c:pt idx="18">
                  <c:v>18 mesi</c:v>
                </c:pt>
                <c:pt idx="19">
                  <c:v>19 mesi</c:v>
                </c:pt>
                <c:pt idx="20">
                  <c:v>20 mesi</c:v>
                </c:pt>
                <c:pt idx="21">
                  <c:v>21 mesi</c:v>
                </c:pt>
                <c:pt idx="22">
                  <c:v>22 mesi</c:v>
                </c:pt>
                <c:pt idx="23">
                  <c:v>23 mesi</c:v>
                </c:pt>
                <c:pt idx="24">
                  <c:v>24 mesi</c:v>
                </c:pt>
                <c:pt idx="25">
                  <c:v>25 mesi</c:v>
                </c:pt>
                <c:pt idx="26">
                  <c:v>26 mesi</c:v>
                </c:pt>
                <c:pt idx="27">
                  <c:v>27 mesi</c:v>
                </c:pt>
                <c:pt idx="28">
                  <c:v>28 mesi</c:v>
                </c:pt>
                <c:pt idx="29">
                  <c:v>29 mesi</c:v>
                </c:pt>
                <c:pt idx="30">
                  <c:v>30 mesi</c:v>
                </c:pt>
                <c:pt idx="31">
                  <c:v>31 mesi</c:v>
                </c:pt>
                <c:pt idx="32">
                  <c:v>32 mesi</c:v>
                </c:pt>
                <c:pt idx="33">
                  <c:v>33 mesi</c:v>
                </c:pt>
                <c:pt idx="34">
                  <c:v>34 mesi</c:v>
                </c:pt>
                <c:pt idx="35">
                  <c:v>35 mesi</c:v>
                </c:pt>
                <c:pt idx="36">
                  <c:v>36 mesi</c:v>
                </c:pt>
              </c:strCache>
            </c:strRef>
          </c:cat>
          <c:val>
            <c:numRef>
              <c:f>'Capitolo 5'!$Y$3:$Y$39</c:f>
              <c:numCache>
                <c:formatCode>0.0</c:formatCode>
                <c:ptCount val="37"/>
                <c:pt idx="1">
                  <c:v>1.169713663842705</c:v>
                </c:pt>
                <c:pt idx="2">
                  <c:v>2.1147948158523695</c:v>
                </c:pt>
                <c:pt idx="3">
                  <c:v>3.2119220815737815</c:v>
                </c:pt>
                <c:pt idx="4">
                  <c:v>4.3367508995193882</c:v>
                </c:pt>
                <c:pt idx="5">
                  <c:v>5.3931589662947088</c:v>
                </c:pt>
                <c:pt idx="6">
                  <c:v>6.8097913531583414</c:v>
                </c:pt>
                <c:pt idx="7">
                  <c:v>8.197680776060027</c:v>
                </c:pt>
                <c:pt idx="8">
                  <c:v>9.3685399928142594</c:v>
                </c:pt>
                <c:pt idx="9">
                  <c:v>10.536587397876561</c:v>
                </c:pt>
                <c:pt idx="10">
                  <c:v>11.770972730633646</c:v>
                </c:pt>
                <c:pt idx="11">
                  <c:v>13.271751185907616</c:v>
                </c:pt>
                <c:pt idx="12">
                  <c:v>16.693726014985913</c:v>
                </c:pt>
                <c:pt idx="13">
                  <c:v>19.15895588059173</c:v>
                </c:pt>
                <c:pt idx="14">
                  <c:v>20.598603466859675</c:v>
                </c:pt>
                <c:pt idx="15">
                  <c:v>22.001697501132533</c:v>
                </c:pt>
                <c:pt idx="16">
                  <c:v>23.230355069331985</c:v>
                </c:pt>
                <c:pt idx="17">
                  <c:v>24.269475701260628</c:v>
                </c:pt>
                <c:pt idx="18">
                  <c:v>25.409196707056083</c:v>
                </c:pt>
                <c:pt idx="19">
                  <c:v>26.457690044624492</c:v>
                </c:pt>
                <c:pt idx="20">
                  <c:v>27.45317552474134</c:v>
                </c:pt>
                <c:pt idx="21">
                  <c:v>28.362432112972343</c:v>
                </c:pt>
                <c:pt idx="22">
                  <c:v>29.46247533155946</c:v>
                </c:pt>
                <c:pt idx="23">
                  <c:v>30.47149916426708</c:v>
                </c:pt>
                <c:pt idx="24">
                  <c:v>31.890526798127542</c:v>
                </c:pt>
                <c:pt idx="25">
                  <c:v>32.305633516795368</c:v>
                </c:pt>
                <c:pt idx="26">
                  <c:v>32.606393226658057</c:v>
                </c:pt>
                <c:pt idx="27">
                  <c:v>32.922045124370598</c:v>
                </c:pt>
                <c:pt idx="28">
                  <c:v>33.231344410482848</c:v>
                </c:pt>
                <c:pt idx="29">
                  <c:v>33.505443979859095</c:v>
                </c:pt>
                <c:pt idx="30">
                  <c:v>33.854421053179692</c:v>
                </c:pt>
                <c:pt idx="31">
                  <c:v>34.161429233468887</c:v>
                </c:pt>
                <c:pt idx="32">
                  <c:v>34.551958635125779</c:v>
                </c:pt>
                <c:pt idx="33">
                  <c:v>34.75711674746286</c:v>
                </c:pt>
                <c:pt idx="34">
                  <c:v>35.036527516701639</c:v>
                </c:pt>
                <c:pt idx="35">
                  <c:v>35.305732450910455</c:v>
                </c:pt>
                <c:pt idx="36">
                  <c:v>36.013684150234056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629-4994-888F-A84B7E5E2A98}"/>
            </c:ext>
          </c:extLst>
        </c:ser>
        <c:ser>
          <c:idx val="1"/>
          <c:order val="1"/>
          <c:tx>
            <c:strRef>
              <c:f>'Capitolo 5'!$Z$2</c:f>
              <c:strCache>
                <c:ptCount val="1"/>
                <c:pt idx="0">
                  <c:v>Nord-est</c:v>
                </c:pt>
              </c:strCache>
            </c:strRef>
          </c:tx>
          <c:spPr>
            <a:ln w="25400" cap="rnd">
              <a:solidFill>
                <a:srgbClr val="53822C"/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'Capitolo 5'!$A$3:$A$39</c:f>
              <c:strCache>
                <c:ptCount val="37"/>
                <c:pt idx="1">
                  <c:v>1 mesi</c:v>
                </c:pt>
                <c:pt idx="2">
                  <c:v>2 mesi</c:v>
                </c:pt>
                <c:pt idx="3">
                  <c:v>3 mesi</c:v>
                </c:pt>
                <c:pt idx="4">
                  <c:v>4 mesi</c:v>
                </c:pt>
                <c:pt idx="5">
                  <c:v>5 mesi</c:v>
                </c:pt>
                <c:pt idx="6">
                  <c:v>6 mesi</c:v>
                </c:pt>
                <c:pt idx="7">
                  <c:v>7 mesi</c:v>
                </c:pt>
                <c:pt idx="8">
                  <c:v>8 mesi</c:v>
                </c:pt>
                <c:pt idx="9">
                  <c:v>9 mesi</c:v>
                </c:pt>
                <c:pt idx="10">
                  <c:v>10 mesi</c:v>
                </c:pt>
                <c:pt idx="11">
                  <c:v>11 mesi</c:v>
                </c:pt>
                <c:pt idx="12">
                  <c:v>12 mesi</c:v>
                </c:pt>
                <c:pt idx="13">
                  <c:v>13 mesi</c:v>
                </c:pt>
                <c:pt idx="14">
                  <c:v>14 mesi</c:v>
                </c:pt>
                <c:pt idx="15">
                  <c:v>15 mesi</c:v>
                </c:pt>
                <c:pt idx="16">
                  <c:v>16 mesi</c:v>
                </c:pt>
                <c:pt idx="17">
                  <c:v>17 mesi</c:v>
                </c:pt>
                <c:pt idx="18">
                  <c:v>18 mesi</c:v>
                </c:pt>
                <c:pt idx="19">
                  <c:v>19 mesi</c:v>
                </c:pt>
                <c:pt idx="20">
                  <c:v>20 mesi</c:v>
                </c:pt>
                <c:pt idx="21">
                  <c:v>21 mesi</c:v>
                </c:pt>
                <c:pt idx="22">
                  <c:v>22 mesi</c:v>
                </c:pt>
                <c:pt idx="23">
                  <c:v>23 mesi</c:v>
                </c:pt>
                <c:pt idx="24">
                  <c:v>24 mesi</c:v>
                </c:pt>
                <c:pt idx="25">
                  <c:v>25 mesi</c:v>
                </c:pt>
                <c:pt idx="26">
                  <c:v>26 mesi</c:v>
                </c:pt>
                <c:pt idx="27">
                  <c:v>27 mesi</c:v>
                </c:pt>
                <c:pt idx="28">
                  <c:v>28 mesi</c:v>
                </c:pt>
                <c:pt idx="29">
                  <c:v>29 mesi</c:v>
                </c:pt>
                <c:pt idx="30">
                  <c:v>30 mesi</c:v>
                </c:pt>
                <c:pt idx="31">
                  <c:v>31 mesi</c:v>
                </c:pt>
                <c:pt idx="32">
                  <c:v>32 mesi</c:v>
                </c:pt>
                <c:pt idx="33">
                  <c:v>33 mesi</c:v>
                </c:pt>
                <c:pt idx="34">
                  <c:v>34 mesi</c:v>
                </c:pt>
                <c:pt idx="35">
                  <c:v>35 mesi</c:v>
                </c:pt>
                <c:pt idx="36">
                  <c:v>36 mesi</c:v>
                </c:pt>
              </c:strCache>
            </c:strRef>
          </c:cat>
          <c:val>
            <c:numRef>
              <c:f>'Capitolo 5'!$Z$3:$Z$39</c:f>
              <c:numCache>
                <c:formatCode>0.0</c:formatCode>
                <c:ptCount val="37"/>
                <c:pt idx="1">
                  <c:v>0.9516217846186118</c:v>
                </c:pt>
                <c:pt idx="2">
                  <c:v>1.6837192228020033</c:v>
                </c:pt>
                <c:pt idx="3">
                  <c:v>2.5481815559692689</c:v>
                </c:pt>
                <c:pt idx="4">
                  <c:v>3.4153708996512573</c:v>
                </c:pt>
                <c:pt idx="5">
                  <c:v>4.2752182919474526</c:v>
                </c:pt>
                <c:pt idx="6">
                  <c:v>5.4212969032697904</c:v>
                </c:pt>
                <c:pt idx="7">
                  <c:v>6.5076959383276085</c:v>
                </c:pt>
                <c:pt idx="8">
                  <c:v>7.4221884259380655</c:v>
                </c:pt>
                <c:pt idx="9">
                  <c:v>8.3522038964784855</c:v>
                </c:pt>
                <c:pt idx="10">
                  <c:v>9.3593098565697357</c:v>
                </c:pt>
                <c:pt idx="11">
                  <c:v>10.551957416681962</c:v>
                </c:pt>
                <c:pt idx="12">
                  <c:v>13.41563311220075</c:v>
                </c:pt>
                <c:pt idx="13">
                  <c:v>15.348034716941553</c:v>
                </c:pt>
                <c:pt idx="14">
                  <c:v>16.48991792747201</c:v>
                </c:pt>
                <c:pt idx="15">
                  <c:v>17.642918950100952</c:v>
                </c:pt>
                <c:pt idx="16">
                  <c:v>18.606917167055617</c:v>
                </c:pt>
                <c:pt idx="17">
                  <c:v>19.442850774838085</c:v>
                </c:pt>
                <c:pt idx="18">
                  <c:v>20.431182316385662</c:v>
                </c:pt>
                <c:pt idx="19">
                  <c:v>21.282953562157484</c:v>
                </c:pt>
                <c:pt idx="20">
                  <c:v>22.144059574691244</c:v>
                </c:pt>
                <c:pt idx="21">
                  <c:v>22.871646957023362</c:v>
                </c:pt>
                <c:pt idx="22">
                  <c:v>23.834281668720664</c:v>
                </c:pt>
                <c:pt idx="23">
                  <c:v>24.608018459763485</c:v>
                </c:pt>
                <c:pt idx="24">
                  <c:v>25.66683273461468</c:v>
                </c:pt>
                <c:pt idx="25">
                  <c:v>26.009596979311429</c:v>
                </c:pt>
                <c:pt idx="26">
                  <c:v>26.268662978210138</c:v>
                </c:pt>
                <c:pt idx="27">
                  <c:v>26.547866900909877</c:v>
                </c:pt>
                <c:pt idx="28">
                  <c:v>26.812282035818235</c:v>
                </c:pt>
                <c:pt idx="29">
                  <c:v>27.059810682539265</c:v>
                </c:pt>
                <c:pt idx="30">
                  <c:v>27.38789102446443</c:v>
                </c:pt>
                <c:pt idx="31">
                  <c:v>27.669821957678895</c:v>
                </c:pt>
                <c:pt idx="32">
                  <c:v>27.972729894852769</c:v>
                </c:pt>
                <c:pt idx="33">
                  <c:v>28.19078585101083</c:v>
                </c:pt>
                <c:pt idx="34">
                  <c:v>28.478590345333927</c:v>
                </c:pt>
                <c:pt idx="35">
                  <c:v>28.770590240448907</c:v>
                </c:pt>
                <c:pt idx="36">
                  <c:v>29.496394577444477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629-4994-888F-A84B7E5E2A98}"/>
            </c:ext>
          </c:extLst>
        </c:ser>
        <c:ser>
          <c:idx val="2"/>
          <c:order val="2"/>
          <c:tx>
            <c:strRef>
              <c:f>'Capitolo 5'!$AA$2</c:f>
              <c:strCache>
                <c:ptCount val="1"/>
                <c:pt idx="0">
                  <c:v>Centro</c:v>
                </c:pt>
              </c:strCache>
            </c:strRef>
          </c:tx>
          <c:spPr>
            <a:ln w="25400" cap="rnd">
              <a:solidFill>
                <a:srgbClr val="AB273B"/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'Capitolo 5'!$A$3:$A$39</c:f>
              <c:strCache>
                <c:ptCount val="37"/>
                <c:pt idx="1">
                  <c:v>1 mesi</c:v>
                </c:pt>
                <c:pt idx="2">
                  <c:v>2 mesi</c:v>
                </c:pt>
                <c:pt idx="3">
                  <c:v>3 mesi</c:v>
                </c:pt>
                <c:pt idx="4">
                  <c:v>4 mesi</c:v>
                </c:pt>
                <c:pt idx="5">
                  <c:v>5 mesi</c:v>
                </c:pt>
                <c:pt idx="6">
                  <c:v>6 mesi</c:v>
                </c:pt>
                <c:pt idx="7">
                  <c:v>7 mesi</c:v>
                </c:pt>
                <c:pt idx="8">
                  <c:v>8 mesi</c:v>
                </c:pt>
                <c:pt idx="9">
                  <c:v>9 mesi</c:v>
                </c:pt>
                <c:pt idx="10">
                  <c:v>10 mesi</c:v>
                </c:pt>
                <c:pt idx="11">
                  <c:v>11 mesi</c:v>
                </c:pt>
                <c:pt idx="12">
                  <c:v>12 mesi</c:v>
                </c:pt>
                <c:pt idx="13">
                  <c:v>13 mesi</c:v>
                </c:pt>
                <c:pt idx="14">
                  <c:v>14 mesi</c:v>
                </c:pt>
                <c:pt idx="15">
                  <c:v>15 mesi</c:v>
                </c:pt>
                <c:pt idx="16">
                  <c:v>16 mesi</c:v>
                </c:pt>
                <c:pt idx="17">
                  <c:v>17 mesi</c:v>
                </c:pt>
                <c:pt idx="18">
                  <c:v>18 mesi</c:v>
                </c:pt>
                <c:pt idx="19">
                  <c:v>19 mesi</c:v>
                </c:pt>
                <c:pt idx="20">
                  <c:v>20 mesi</c:v>
                </c:pt>
                <c:pt idx="21">
                  <c:v>21 mesi</c:v>
                </c:pt>
                <c:pt idx="22">
                  <c:v>22 mesi</c:v>
                </c:pt>
                <c:pt idx="23">
                  <c:v>23 mesi</c:v>
                </c:pt>
                <c:pt idx="24">
                  <c:v>24 mesi</c:v>
                </c:pt>
                <c:pt idx="25">
                  <c:v>25 mesi</c:v>
                </c:pt>
                <c:pt idx="26">
                  <c:v>26 mesi</c:v>
                </c:pt>
                <c:pt idx="27">
                  <c:v>27 mesi</c:v>
                </c:pt>
                <c:pt idx="28">
                  <c:v>28 mesi</c:v>
                </c:pt>
                <c:pt idx="29">
                  <c:v>29 mesi</c:v>
                </c:pt>
                <c:pt idx="30">
                  <c:v>30 mesi</c:v>
                </c:pt>
                <c:pt idx="31">
                  <c:v>31 mesi</c:v>
                </c:pt>
                <c:pt idx="32">
                  <c:v>32 mesi</c:v>
                </c:pt>
                <c:pt idx="33">
                  <c:v>33 mesi</c:v>
                </c:pt>
                <c:pt idx="34">
                  <c:v>34 mesi</c:v>
                </c:pt>
                <c:pt idx="35">
                  <c:v>35 mesi</c:v>
                </c:pt>
                <c:pt idx="36">
                  <c:v>36 mesi</c:v>
                </c:pt>
              </c:strCache>
            </c:strRef>
          </c:cat>
          <c:val>
            <c:numRef>
              <c:f>'Capitolo 5'!$AA$3:$AA$39</c:f>
              <c:numCache>
                <c:formatCode>0.0</c:formatCode>
                <c:ptCount val="37"/>
                <c:pt idx="1">
                  <c:v>1.1343915143344867</c:v>
                </c:pt>
                <c:pt idx="2">
                  <c:v>1.9735758802018115</c:v>
                </c:pt>
                <c:pt idx="3">
                  <c:v>2.9425945296646461</c:v>
                </c:pt>
                <c:pt idx="4">
                  <c:v>3.9232224490110204</c:v>
                </c:pt>
                <c:pt idx="5">
                  <c:v>4.8474624860659139</c:v>
                </c:pt>
                <c:pt idx="6">
                  <c:v>6.0297126231856071</c:v>
                </c:pt>
                <c:pt idx="7">
                  <c:v>7.1831765094716236</c:v>
                </c:pt>
                <c:pt idx="8">
                  <c:v>8.172215226386685</c:v>
                </c:pt>
                <c:pt idx="9">
                  <c:v>9.1843540211312398</c:v>
                </c:pt>
                <c:pt idx="10">
                  <c:v>10.27586231405918</c:v>
                </c:pt>
                <c:pt idx="11">
                  <c:v>11.569822058323549</c:v>
                </c:pt>
                <c:pt idx="12">
                  <c:v>14.513482745426479</c:v>
                </c:pt>
                <c:pt idx="13">
                  <c:v>16.420009168953968</c:v>
                </c:pt>
                <c:pt idx="14">
                  <c:v>17.679614951318065</c:v>
                </c:pt>
                <c:pt idx="15">
                  <c:v>18.946091526062219</c:v>
                </c:pt>
                <c:pt idx="16">
                  <c:v>19.912859398710896</c:v>
                </c:pt>
                <c:pt idx="17">
                  <c:v>20.727995991248029</c:v>
                </c:pt>
                <c:pt idx="18">
                  <c:v>21.662897602685767</c:v>
                </c:pt>
                <c:pt idx="19">
                  <c:v>22.532408224575402</c:v>
                </c:pt>
                <c:pt idx="20">
                  <c:v>23.425018924294527</c:v>
                </c:pt>
                <c:pt idx="21">
                  <c:v>24.188032264293319</c:v>
                </c:pt>
                <c:pt idx="22">
                  <c:v>25.189627946592619</c:v>
                </c:pt>
                <c:pt idx="23">
                  <c:v>26.062929350485039</c:v>
                </c:pt>
                <c:pt idx="24">
                  <c:v>27.183816203934594</c:v>
                </c:pt>
                <c:pt idx="25">
                  <c:v>27.506743445797145</c:v>
                </c:pt>
                <c:pt idx="26">
                  <c:v>27.737862686029661</c:v>
                </c:pt>
                <c:pt idx="27">
                  <c:v>27.964006524883519</c:v>
                </c:pt>
                <c:pt idx="28">
                  <c:v>28.16515489490649</c:v>
                </c:pt>
                <c:pt idx="29">
                  <c:v>28.33526623728163</c:v>
                </c:pt>
                <c:pt idx="30">
                  <c:v>28.590551712781924</c:v>
                </c:pt>
                <c:pt idx="31">
                  <c:v>28.781156970359635</c:v>
                </c:pt>
                <c:pt idx="32">
                  <c:v>29.055988665561809</c:v>
                </c:pt>
                <c:pt idx="33">
                  <c:v>29.220058449120003</c:v>
                </c:pt>
                <c:pt idx="34">
                  <c:v>29.408649853758735</c:v>
                </c:pt>
                <c:pt idx="35">
                  <c:v>29.61050899540723</c:v>
                </c:pt>
                <c:pt idx="36">
                  <c:v>30.062322825364593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629-4994-888F-A84B7E5E2A98}"/>
            </c:ext>
          </c:extLst>
        </c:ser>
        <c:ser>
          <c:idx val="3"/>
          <c:order val="3"/>
          <c:tx>
            <c:strRef>
              <c:f>'Capitolo 5'!$AB$2</c:f>
              <c:strCache>
                <c:ptCount val="1"/>
                <c:pt idx="0">
                  <c:v>Mezzogiorno</c:v>
                </c:pt>
              </c:strCache>
            </c:strRef>
          </c:tx>
          <c:spPr>
            <a:ln w="25400" cap="rnd">
              <a:solidFill>
                <a:srgbClr val="FABB2C"/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'Capitolo 5'!$A$3:$A$39</c:f>
              <c:strCache>
                <c:ptCount val="37"/>
                <c:pt idx="1">
                  <c:v>1 mesi</c:v>
                </c:pt>
                <c:pt idx="2">
                  <c:v>2 mesi</c:v>
                </c:pt>
                <c:pt idx="3">
                  <c:v>3 mesi</c:v>
                </c:pt>
                <c:pt idx="4">
                  <c:v>4 mesi</c:v>
                </c:pt>
                <c:pt idx="5">
                  <c:v>5 mesi</c:v>
                </c:pt>
                <c:pt idx="6">
                  <c:v>6 mesi</c:v>
                </c:pt>
                <c:pt idx="7">
                  <c:v>7 mesi</c:v>
                </c:pt>
                <c:pt idx="8">
                  <c:v>8 mesi</c:v>
                </c:pt>
                <c:pt idx="9">
                  <c:v>9 mesi</c:v>
                </c:pt>
                <c:pt idx="10">
                  <c:v>10 mesi</c:v>
                </c:pt>
                <c:pt idx="11">
                  <c:v>11 mesi</c:v>
                </c:pt>
                <c:pt idx="12">
                  <c:v>12 mesi</c:v>
                </c:pt>
                <c:pt idx="13">
                  <c:v>13 mesi</c:v>
                </c:pt>
                <c:pt idx="14">
                  <c:v>14 mesi</c:v>
                </c:pt>
                <c:pt idx="15">
                  <c:v>15 mesi</c:v>
                </c:pt>
                <c:pt idx="16">
                  <c:v>16 mesi</c:v>
                </c:pt>
                <c:pt idx="17">
                  <c:v>17 mesi</c:v>
                </c:pt>
                <c:pt idx="18">
                  <c:v>18 mesi</c:v>
                </c:pt>
                <c:pt idx="19">
                  <c:v>19 mesi</c:v>
                </c:pt>
                <c:pt idx="20">
                  <c:v>20 mesi</c:v>
                </c:pt>
                <c:pt idx="21">
                  <c:v>21 mesi</c:v>
                </c:pt>
                <c:pt idx="22">
                  <c:v>22 mesi</c:v>
                </c:pt>
                <c:pt idx="23">
                  <c:v>23 mesi</c:v>
                </c:pt>
                <c:pt idx="24">
                  <c:v>24 mesi</c:v>
                </c:pt>
                <c:pt idx="25">
                  <c:v>25 mesi</c:v>
                </c:pt>
                <c:pt idx="26">
                  <c:v>26 mesi</c:v>
                </c:pt>
                <c:pt idx="27">
                  <c:v>27 mesi</c:v>
                </c:pt>
                <c:pt idx="28">
                  <c:v>28 mesi</c:v>
                </c:pt>
                <c:pt idx="29">
                  <c:v>29 mesi</c:v>
                </c:pt>
                <c:pt idx="30">
                  <c:v>30 mesi</c:v>
                </c:pt>
                <c:pt idx="31">
                  <c:v>31 mesi</c:v>
                </c:pt>
                <c:pt idx="32">
                  <c:v>32 mesi</c:v>
                </c:pt>
                <c:pt idx="33">
                  <c:v>33 mesi</c:v>
                </c:pt>
                <c:pt idx="34">
                  <c:v>34 mesi</c:v>
                </c:pt>
                <c:pt idx="35">
                  <c:v>35 mesi</c:v>
                </c:pt>
                <c:pt idx="36">
                  <c:v>36 mesi</c:v>
                </c:pt>
              </c:strCache>
            </c:strRef>
          </c:cat>
          <c:val>
            <c:numRef>
              <c:f>'Capitolo 5'!$AB$3:$AB$39</c:f>
              <c:numCache>
                <c:formatCode>0.0</c:formatCode>
                <c:ptCount val="37"/>
                <c:pt idx="1">
                  <c:v>0.98725224785889953</c:v>
                </c:pt>
                <c:pt idx="2">
                  <c:v>1.7367362485864388</c:v>
                </c:pt>
                <c:pt idx="3">
                  <c:v>2.4988731050371547</c:v>
                </c:pt>
                <c:pt idx="4">
                  <c:v>3.2300368250821774</c:v>
                </c:pt>
                <c:pt idx="5">
                  <c:v>3.9279208985636371</c:v>
                </c:pt>
                <c:pt idx="6">
                  <c:v>4.6633681374732774</c:v>
                </c:pt>
                <c:pt idx="7">
                  <c:v>5.3478085517488614</c:v>
                </c:pt>
                <c:pt idx="8">
                  <c:v>6.0159056940486764</c:v>
                </c:pt>
                <c:pt idx="9">
                  <c:v>6.6476258761443585</c:v>
                </c:pt>
                <c:pt idx="10">
                  <c:v>7.3248831587854308</c:v>
                </c:pt>
                <c:pt idx="11">
                  <c:v>8.2401722897187639</c:v>
                </c:pt>
                <c:pt idx="12">
                  <c:v>9.9742725266962076</c:v>
                </c:pt>
                <c:pt idx="13">
                  <c:v>11.032301686256625</c:v>
                </c:pt>
                <c:pt idx="14">
                  <c:v>11.805971093496696</c:v>
                </c:pt>
                <c:pt idx="15">
                  <c:v>12.489423003418906</c:v>
                </c:pt>
                <c:pt idx="16">
                  <c:v>12.948550325415633</c:v>
                </c:pt>
                <c:pt idx="17">
                  <c:v>13.360756640772246</c:v>
                </c:pt>
                <c:pt idx="18">
                  <c:v>13.776257970640103</c:v>
                </c:pt>
                <c:pt idx="19">
                  <c:v>14.103848313347971</c:v>
                </c:pt>
                <c:pt idx="20">
                  <c:v>14.524621666433818</c:v>
                </c:pt>
                <c:pt idx="21">
                  <c:v>14.943615711683593</c:v>
                </c:pt>
                <c:pt idx="22">
                  <c:v>15.482811886303546</c:v>
                </c:pt>
                <c:pt idx="23">
                  <c:v>16.065765853632819</c:v>
                </c:pt>
                <c:pt idx="24">
                  <c:v>16.674684535310693</c:v>
                </c:pt>
                <c:pt idx="25">
                  <c:v>16.840753266677385</c:v>
                </c:pt>
                <c:pt idx="26">
                  <c:v>16.946589132778541</c:v>
                </c:pt>
                <c:pt idx="27">
                  <c:v>17.043989761730909</c:v>
                </c:pt>
                <c:pt idx="28">
                  <c:v>17.111010356889611</c:v>
                </c:pt>
                <c:pt idx="29">
                  <c:v>17.175394940439318</c:v>
                </c:pt>
                <c:pt idx="30">
                  <c:v>17.27417947548641</c:v>
                </c:pt>
                <c:pt idx="31">
                  <c:v>17.301330395059058</c:v>
                </c:pt>
                <c:pt idx="32">
                  <c:v>17.405584654194815</c:v>
                </c:pt>
                <c:pt idx="33">
                  <c:v>17.481304087663201</c:v>
                </c:pt>
                <c:pt idx="34">
                  <c:v>17.581208927644116</c:v>
                </c:pt>
                <c:pt idx="35">
                  <c:v>17.790903651139679</c:v>
                </c:pt>
                <c:pt idx="36">
                  <c:v>18.161131481623045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629-4994-888F-A84B7E5E2A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4630912"/>
        <c:axId val="164632448"/>
      </c:lineChart>
      <c:catAx>
        <c:axId val="16463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100000" vert="horz"/>
          <a:lstStyle/>
          <a:p>
            <a:pPr>
              <a:defRPr/>
            </a:pPr>
            <a:endParaRPr lang="it-IT"/>
          </a:p>
        </c:txPr>
        <c:crossAx val="164632448"/>
        <c:crosses val="autoZero"/>
        <c:auto val="1"/>
        <c:lblAlgn val="ctr"/>
        <c:lblOffset val="100"/>
        <c:tickLblSkip val="3"/>
        <c:noMultiLvlLbl val="0"/>
      </c:catAx>
      <c:valAx>
        <c:axId val="164632448"/>
        <c:scaling>
          <c:orientation val="minMax"/>
          <c:max val="40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crossAx val="164630912"/>
        <c:crossesAt val="1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1233518147509662"/>
          <c:w val="0.98220365049370861"/>
          <c:h val="8.766463640716733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 algn="ctr" rtl="0">
        <a:defRPr lang="en-US" sz="700" b="0" i="0" u="none" strike="noStrike" kern="1200" baseline="0">
          <a:solidFill>
            <a:sysClr val="windowText" lastClr="000000"/>
          </a:solidFill>
          <a:latin typeface="Arial Narrow" panose="020B0606020202030204" pitchFamily="34" charset="0"/>
          <a:ea typeface="+mn-ea"/>
          <a:cs typeface="Arial" panose="020B0604020202020204" pitchFamily="34" charset="0"/>
        </a:defRPr>
      </a:pPr>
      <a:endParaRPr lang="it-I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886d22a-1eb9-406b-961e-e52bb60f5915" xsi:nil="true"/>
    <_dlc_DocIdUrl xmlns="2886d22a-1eb9-406b-961e-e52bb60f5915">
      <Url xsi:nil="true"/>
      <Description xsi:nil="true"/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ota o comunicato" ma:contentTypeID="0x010100B795A82E90F7744F8BBD5BCEA1E47B9D00412BB8B24175FB4599016A296A388103" ma:contentTypeVersion="2" ma:contentTypeDescription="" ma:contentTypeScope="" ma:versionID="fef993d87c238cc71779350178681a56">
  <xsd:schema xmlns:xsd="http://www.w3.org/2001/XMLSchema" xmlns:xs="http://www.w3.org/2001/XMLSchema" xmlns:p="http://schemas.microsoft.com/office/2006/metadata/properties" xmlns:ns2="2886d22a-1eb9-406b-961e-e52bb60f5915" targetNamespace="http://schemas.microsoft.com/office/2006/metadata/properties" ma:root="true" ma:fieldsID="6a986a9c8108b3d7a67e5da413ff238a" ns2:_="">
    <xsd:import namespace="2886d22a-1eb9-406b-961e-e52bb60f59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6d22a-1eb9-406b-961e-e52bb60f59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A41E4-AD3C-4254-9DFE-F93EAFD7B2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BAA595-EBC0-4FCF-8C7E-3F5AB5DD18D5}">
  <ds:schemaRefs>
    <ds:schemaRef ds:uri="http://schemas.microsoft.com/office/2006/metadata/properties"/>
    <ds:schemaRef ds:uri="http://schemas.microsoft.com/office/infopath/2007/PartnerControls"/>
    <ds:schemaRef ds:uri="2886d22a-1eb9-406b-961e-e52bb60f5915"/>
  </ds:schemaRefs>
</ds:datastoreItem>
</file>

<file path=customXml/itemProps3.xml><?xml version="1.0" encoding="utf-8"?>
<ds:datastoreItem xmlns:ds="http://schemas.openxmlformats.org/officeDocument/2006/customXml" ds:itemID="{19B49C5B-BBCD-4526-B308-8DC5EF9F2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86d22a-1eb9-406b-961e-e52bb60f59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FFB90D-4BBB-4746-AC19-16061AC2CC2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1F17FEE-56DE-4C59-8FC1-250A2CC11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3548</Words>
  <Characters>20228</Characters>
  <Application>Microsoft Office Word</Application>
  <DocSecurity>0</DocSecurity>
  <Lines>168</Lines>
  <Paragraphs>47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Ministero del Lavoro e delle Politiche Sociali</Company>
  <LinksUpToDate>false</LinksUpToDate>
  <CharactersWithSpaces>23729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Tognoni Massimo</dc:creator>
  <cp:lastModifiedBy>Lidia LF. Fagiolo</cp:lastModifiedBy>
  <cp:revision>19</cp:revision>
  <cp:lastPrinted>2019-02-21T16:30:00Z</cp:lastPrinted>
  <dcterms:created xsi:type="dcterms:W3CDTF">2019-02-22T18:22:00Z</dcterms:created>
  <dcterms:modified xsi:type="dcterms:W3CDTF">2019-02-25T07:25:00Z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0x010100B795A82E90F7744F8BBD5BCEA1E47B9D00412BB8B24175FB4599016A296A388103</vt:lpwstr>
  </property>
  <property fmtid="{D5CDD505-2E9C-101B-9397-08002B2CF9AE}" pid="3" name="_dlc_DocIdItemGuid">
    <vt:lpwstr>e55779bc-97f2-4276-aac5-7ab9e495223d</vt:lpwstr>
  </property>
</Properties>
</file>