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00" w:rsidRPr="00EA0885" w:rsidRDefault="002103C7" w:rsidP="00201D2E">
      <w:pPr>
        <w:spacing w:before="0" w:after="120"/>
        <w:rPr>
          <w:rFonts w:ascii="Arial" w:hAnsi="Arial" w:cs="Arial"/>
          <w:color w:val="000000"/>
          <w:sz w:val="28"/>
          <w:szCs w:val="28"/>
        </w:rPr>
      </w:pPr>
      <w:r>
        <w:rPr>
          <w:noProof/>
        </w:rPr>
        <mc:AlternateContent>
          <mc:Choice Requires="wps">
            <w:drawing>
              <wp:anchor distT="0" distB="0" distL="114300" distR="114300" simplePos="0" relativeHeight="251687424" behindDoc="0" locked="0" layoutInCell="1" allowOverlap="1">
                <wp:simplePos x="0" y="0"/>
                <wp:positionH relativeFrom="column">
                  <wp:posOffset>3924935</wp:posOffset>
                </wp:positionH>
                <wp:positionV relativeFrom="paragraph">
                  <wp:posOffset>85725</wp:posOffset>
                </wp:positionV>
                <wp:extent cx="1600200" cy="3048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AD" w:rsidRPr="00DE684F" w:rsidRDefault="00E225AD" w:rsidP="0021160E">
                            <w:pPr>
                              <w:jc w:val="center"/>
                              <w:rPr>
                                <w:rFonts w:ascii="Arial Narrow" w:hAnsi="Arial Narrow"/>
                                <w:b/>
                                <w:color w:val="808080"/>
                                <w:sz w:val="26"/>
                                <w:szCs w:val="26"/>
                              </w:rPr>
                            </w:pPr>
                            <w:r>
                              <w:rPr>
                                <w:rFonts w:ascii="Arial Narrow" w:hAnsi="Arial Narrow"/>
                                <w:b/>
                                <w:color w:val="808080"/>
                                <w:sz w:val="26"/>
                                <w:szCs w:val="26"/>
                              </w:rPr>
                              <w:t xml:space="preserve">30 Giugno </w:t>
                            </w:r>
                            <w:r w:rsidRPr="00DE684F">
                              <w:rPr>
                                <w:rFonts w:ascii="Arial Narrow" w:hAnsi="Arial Narrow"/>
                                <w:b/>
                                <w:color w:val="808080"/>
                                <w:sz w:val="26"/>
                                <w:szCs w:val="26"/>
                              </w:rPr>
                              <w:t>201</w:t>
                            </w:r>
                            <w:r>
                              <w:rPr>
                                <w:rFonts w:ascii="Arial Narrow" w:hAnsi="Arial Narrow"/>
                                <w:b/>
                                <w:color w:val="808080"/>
                                <w:sz w:val="26"/>
                                <w:szCs w:val="26"/>
                              </w:rPr>
                              <w:t>6</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05pt;margin-top:6.75pt;width:126pt;height:2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" filled="f" stroked="f">
                <v:path arrowok="t"/>
                <v:textbox inset=".5mm,.3mm,.5mm,.3mm">
                  <w:txbxContent>
                    <w:p w:rsidR="00E225AD" w:rsidRPr="00DE684F" w:rsidRDefault="00E225AD" w:rsidP="0021160E">
                      <w:pPr>
                        <w:jc w:val="center"/>
                        <w:rPr>
                          <w:rFonts w:ascii="Arial Narrow" w:hAnsi="Arial Narrow"/>
                          <w:b/>
                          <w:color w:val="808080"/>
                          <w:sz w:val="26"/>
                          <w:szCs w:val="26"/>
                        </w:rPr>
                      </w:pPr>
                      <w:r>
                        <w:rPr>
                          <w:rFonts w:ascii="Arial Narrow" w:hAnsi="Arial Narrow"/>
                          <w:b/>
                          <w:color w:val="808080"/>
                          <w:sz w:val="26"/>
                          <w:szCs w:val="26"/>
                        </w:rPr>
                        <w:t xml:space="preserve">30 Giugno </w:t>
                      </w:r>
                      <w:r w:rsidRPr="00DE684F">
                        <w:rPr>
                          <w:rFonts w:ascii="Arial Narrow" w:hAnsi="Arial Narrow"/>
                          <w:b/>
                          <w:color w:val="808080"/>
                          <w:sz w:val="26"/>
                          <w:szCs w:val="26"/>
                        </w:rPr>
                        <w:t>201</w:t>
                      </w:r>
                      <w:r>
                        <w:rPr>
                          <w:rFonts w:ascii="Arial Narrow" w:hAnsi="Arial Narrow"/>
                          <w:b/>
                          <w:color w:val="808080"/>
                          <w:sz w:val="26"/>
                          <w:szCs w:val="26"/>
                        </w:rPr>
                        <w:t>6</w:t>
                      </w:r>
                    </w:p>
                  </w:txbxContent>
                </v:textbox>
              </v:shape>
            </w:pict>
          </mc:Fallback>
        </mc:AlternateContent>
      </w:r>
      <w:r w:rsidR="0021160E">
        <w:rPr>
          <w:rFonts w:ascii="Arial" w:hAnsi="Arial" w:cs="Arial"/>
          <w:noProof/>
          <w:color w:val="000000"/>
          <w:sz w:val="28"/>
          <w:szCs w:val="28"/>
        </w:rPr>
        <w:drawing>
          <wp:inline distT="0" distB="0" distL="0" distR="0">
            <wp:extent cx="6696075" cy="1109980"/>
            <wp:effectExtent l="0" t="0" r="9525" b="0"/>
            <wp:docPr id="32" name="Immagine 32" descr="Z:\Consumo4\Diffusione\comunica\anno 2016\Flash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Consumo4\Diffusione\comunica\anno 2016\Flash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6075" cy="1109980"/>
                    </a:xfrm>
                    <a:prstGeom prst="rect">
                      <a:avLst/>
                    </a:prstGeom>
                    <a:noFill/>
                    <a:ln>
                      <a:noFill/>
                    </a:ln>
                  </pic:spPr>
                </pic:pic>
              </a:graphicData>
            </a:graphic>
          </wp:inline>
        </w:drawing>
      </w:r>
    </w:p>
    <w:p w:rsidR="000F4D00" w:rsidRPr="00EA0885" w:rsidRDefault="0058158C" w:rsidP="006D6C5E">
      <w:pPr>
        <w:spacing w:before="0" w:after="0"/>
        <w:ind w:left="1814"/>
        <w:rPr>
          <w:rFonts w:ascii="Arial" w:hAnsi="Arial" w:cs="Arial"/>
          <w:color w:val="000000"/>
          <w:sz w:val="28"/>
          <w:szCs w:val="28"/>
        </w:rPr>
      </w:pPr>
      <w:r>
        <w:rPr>
          <w:rFonts w:ascii="Arial" w:hAnsi="Arial" w:cs="Arial"/>
          <w:color w:val="000000"/>
          <w:sz w:val="28"/>
          <w:szCs w:val="28"/>
        </w:rPr>
        <w:t xml:space="preserve">Giugno </w:t>
      </w:r>
      <w:r w:rsidR="000F4D00">
        <w:rPr>
          <w:rFonts w:ascii="Arial" w:hAnsi="Arial" w:cs="Arial"/>
          <w:color w:val="000000"/>
          <w:sz w:val="28"/>
          <w:szCs w:val="28"/>
        </w:rPr>
        <w:t>201</w:t>
      </w:r>
      <w:r w:rsidR="0008280D">
        <w:rPr>
          <w:rFonts w:ascii="Arial" w:hAnsi="Arial" w:cs="Arial"/>
          <w:color w:val="000000"/>
          <w:sz w:val="28"/>
          <w:szCs w:val="28"/>
        </w:rPr>
        <w:t>6</w:t>
      </w:r>
    </w:p>
    <w:p w:rsidR="000F4D00" w:rsidRPr="00EA0885" w:rsidRDefault="000F4D00" w:rsidP="006D6C5E">
      <w:pPr>
        <w:spacing w:before="0" w:after="0"/>
        <w:ind w:left="1814"/>
        <w:rPr>
          <w:rFonts w:ascii="Arial Narrow" w:hAnsi="Arial Narrow" w:cs="Arial"/>
          <w:b/>
          <w:bCs/>
          <w:color w:val="5F5F5F"/>
          <w:w w:val="95"/>
          <w:sz w:val="56"/>
          <w:szCs w:val="56"/>
        </w:rPr>
      </w:pPr>
      <w:r w:rsidRPr="00EA0885">
        <w:rPr>
          <w:rFonts w:ascii="Arial Narrow" w:hAnsi="Arial Narrow" w:cs="Arial"/>
          <w:b/>
          <w:bCs/>
          <w:color w:val="5F5F5F"/>
          <w:w w:val="95"/>
          <w:sz w:val="56"/>
          <w:szCs w:val="56"/>
        </w:rPr>
        <w:t>PREZZI AL CONSUMO</w:t>
      </w:r>
    </w:p>
    <w:p w:rsidR="000F4D00" w:rsidRDefault="000F4D00" w:rsidP="0091710B">
      <w:pPr>
        <w:spacing w:before="0" w:after="120"/>
        <w:ind w:left="1842" w:hanging="28"/>
        <w:rPr>
          <w:rFonts w:ascii="Arial" w:hAnsi="Arial" w:cs="Arial"/>
          <w:color w:val="808080"/>
          <w:sz w:val="28"/>
          <w:szCs w:val="28"/>
        </w:rPr>
      </w:pPr>
      <w:r w:rsidRPr="00445DEB">
        <w:rPr>
          <w:rFonts w:ascii="Arial" w:hAnsi="Arial" w:cs="Arial"/>
          <w:color w:val="808080"/>
          <w:sz w:val="28"/>
          <w:szCs w:val="28"/>
        </w:rPr>
        <w:t xml:space="preserve">Dati </w:t>
      </w:r>
      <w:r w:rsidR="00275BF2">
        <w:rPr>
          <w:rFonts w:ascii="Arial" w:hAnsi="Arial" w:cs="Arial"/>
          <w:color w:val="808080"/>
          <w:sz w:val="28"/>
          <w:szCs w:val="28"/>
        </w:rPr>
        <w:t>provvisori</w:t>
      </w:r>
    </w:p>
    <w:p w:rsidR="000F4D00" w:rsidRPr="00445DEB" w:rsidRDefault="000F4D00" w:rsidP="006D6C5E">
      <w:pPr>
        <w:spacing w:before="0" w:after="0"/>
        <w:ind w:left="1418"/>
        <w:rPr>
          <w:rFonts w:ascii="Arial" w:hAnsi="Arial" w:cs="Arial"/>
          <w:color w:val="000000"/>
          <w:sz w:val="40"/>
          <w:szCs w:val="40"/>
        </w:rPr>
        <w:sectPr w:rsidR="000F4D00" w:rsidRPr="00445DEB" w:rsidSect="00614E13">
          <w:footerReference w:type="even" r:id="rId10"/>
          <w:footerReference w:type="default" r:id="rId11"/>
          <w:pgSz w:w="11907" w:h="16840" w:code="9"/>
          <w:pgMar w:top="425" w:right="680" w:bottom="624" w:left="680" w:header="720" w:footer="720" w:gutter="0"/>
          <w:cols w:space="720"/>
          <w:noEndnote/>
          <w:titlePg/>
        </w:sectPr>
      </w:pPr>
    </w:p>
    <w:p w:rsidR="00DF25CB" w:rsidRPr="00D032B7"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sidRPr="00A26801">
        <w:rPr>
          <w:rFonts w:ascii="Arial" w:hAnsi="Arial" w:cs="Arial"/>
          <w:iCs/>
          <w:noProof/>
        </w:rPr>
        <w:lastRenderedPageBreak/>
        <w:t xml:space="preserve">Nel mese di </w:t>
      </w:r>
      <w:r>
        <w:rPr>
          <w:rFonts w:ascii="Arial" w:hAnsi="Arial" w:cs="Arial"/>
          <w:iCs/>
          <w:noProof/>
        </w:rPr>
        <w:t xml:space="preserve">giugno </w:t>
      </w:r>
      <w:r w:rsidRPr="00E01038">
        <w:rPr>
          <w:rFonts w:ascii="Arial" w:hAnsi="Arial" w:cs="Arial"/>
          <w:iCs/>
          <w:noProof/>
        </w:rPr>
        <w:t>2016, secondo le stime preliminari, l’indice nazionale dei prezzi al consumo per l’intera collettività (NIC), al lordo</w:t>
      </w:r>
      <w:r>
        <w:rPr>
          <w:rFonts w:ascii="Arial" w:hAnsi="Arial" w:cs="Arial"/>
          <w:iCs/>
          <w:noProof/>
        </w:rPr>
        <w:t xml:space="preserve"> dei tabacchi, registra </w:t>
      </w:r>
      <w:r w:rsidRPr="00D032B7">
        <w:rPr>
          <w:rFonts w:ascii="Arial" w:hAnsi="Arial" w:cs="Arial"/>
          <w:iCs/>
          <w:noProof/>
        </w:rPr>
        <w:t>un aumento dello 0,1% su base mensile e una diminuzione su base annua pari a -0,4% (era -0,3% a maggio).</w:t>
      </w:r>
    </w:p>
    <w:p w:rsidR="00DF25CB" w:rsidRPr="009305EB"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sidRPr="009305EB">
        <w:rPr>
          <w:rFonts w:ascii="Arial" w:hAnsi="Arial" w:cs="Arial"/>
        </w:rPr>
        <w:t>L</w:t>
      </w:r>
      <w:r w:rsidR="004F6BEB">
        <w:rPr>
          <w:rFonts w:ascii="Arial" w:hAnsi="Arial" w:cs="Arial"/>
        </w:rPr>
        <w:t xml:space="preserve">a lieve </w:t>
      </w:r>
      <w:r w:rsidRPr="009305EB">
        <w:rPr>
          <w:rFonts w:ascii="Arial" w:hAnsi="Arial" w:cs="Arial"/>
        </w:rPr>
        <w:t xml:space="preserve">accentuazione della flessione su base annua dell’indice generale è principalmente da attribuire al rallentamento della crescita </w:t>
      </w:r>
      <w:r w:rsidR="00212736">
        <w:rPr>
          <w:rFonts w:ascii="Arial" w:hAnsi="Arial" w:cs="Arial"/>
        </w:rPr>
        <w:t xml:space="preserve">dei prezzi </w:t>
      </w:r>
      <w:r>
        <w:rPr>
          <w:rFonts w:ascii="Arial" w:hAnsi="Arial" w:cs="Arial"/>
        </w:rPr>
        <w:t>degli Altri beni</w:t>
      </w:r>
      <w:r w:rsidR="00EA1C4C">
        <w:rPr>
          <w:rFonts w:ascii="Arial" w:hAnsi="Arial" w:cs="Arial"/>
        </w:rPr>
        <w:t xml:space="preserve"> </w:t>
      </w:r>
      <w:r w:rsidR="00EA1C4C" w:rsidRPr="009305EB">
        <w:rPr>
          <w:rFonts w:ascii="Arial" w:hAnsi="Arial" w:cs="Arial"/>
        </w:rPr>
        <w:t>(+</w:t>
      </w:r>
      <w:r w:rsidR="00EA1C4C">
        <w:rPr>
          <w:rFonts w:ascii="Arial" w:hAnsi="Arial" w:cs="Arial"/>
        </w:rPr>
        <w:t>0,4</w:t>
      </w:r>
      <w:r w:rsidR="00EA1C4C" w:rsidRPr="009305EB">
        <w:rPr>
          <w:rFonts w:ascii="Arial" w:hAnsi="Arial" w:cs="Arial"/>
        </w:rPr>
        <w:t>%, era +</w:t>
      </w:r>
      <w:r w:rsidR="00EA1C4C">
        <w:rPr>
          <w:rFonts w:ascii="Arial" w:hAnsi="Arial" w:cs="Arial"/>
        </w:rPr>
        <w:t>0</w:t>
      </w:r>
      <w:r w:rsidR="00EA1C4C" w:rsidRPr="009305EB">
        <w:rPr>
          <w:rFonts w:ascii="Arial" w:hAnsi="Arial" w:cs="Arial"/>
        </w:rPr>
        <w:t>,7% il mese precedente)</w:t>
      </w:r>
      <w:r w:rsidR="00EA1C4C">
        <w:rPr>
          <w:rFonts w:ascii="Arial" w:hAnsi="Arial" w:cs="Arial"/>
        </w:rPr>
        <w:t>, che includono beni durevoli, semidurevoli e non durevoli,</w:t>
      </w:r>
      <w:r w:rsidRPr="009305EB">
        <w:rPr>
          <w:rFonts w:ascii="Arial" w:hAnsi="Arial" w:cs="Arial"/>
        </w:rPr>
        <w:t xml:space="preserve"> </w:t>
      </w:r>
      <w:r w:rsidR="00212736">
        <w:rPr>
          <w:rFonts w:ascii="Arial" w:hAnsi="Arial" w:cs="Arial"/>
        </w:rPr>
        <w:t xml:space="preserve">solo </w:t>
      </w:r>
      <w:r w:rsidRPr="009305EB">
        <w:rPr>
          <w:rFonts w:ascii="Arial" w:hAnsi="Arial" w:cs="Arial"/>
        </w:rPr>
        <w:t xml:space="preserve">in parte </w:t>
      </w:r>
      <w:r w:rsidR="0058158C" w:rsidRPr="009305EB">
        <w:rPr>
          <w:rFonts w:ascii="Arial" w:hAnsi="Arial" w:cs="Arial"/>
        </w:rPr>
        <w:t>compensat</w:t>
      </w:r>
      <w:r w:rsidR="0058158C">
        <w:rPr>
          <w:rFonts w:ascii="Arial" w:hAnsi="Arial" w:cs="Arial"/>
        </w:rPr>
        <w:t>o</w:t>
      </w:r>
      <w:r w:rsidR="0058158C" w:rsidRPr="009305EB">
        <w:rPr>
          <w:rFonts w:ascii="Arial" w:hAnsi="Arial" w:cs="Arial"/>
        </w:rPr>
        <w:t xml:space="preserve"> </w:t>
      </w:r>
      <w:r w:rsidRPr="009305EB">
        <w:rPr>
          <w:rFonts w:ascii="Arial" w:hAnsi="Arial" w:cs="Arial"/>
        </w:rPr>
        <w:t>dal ridimensionamento della flessione d</w:t>
      </w:r>
      <w:r w:rsidR="00212736">
        <w:rPr>
          <w:rFonts w:ascii="Arial" w:hAnsi="Arial" w:cs="Arial"/>
        </w:rPr>
        <w:t>i quelli dei</w:t>
      </w:r>
      <w:r w:rsidRPr="009305EB">
        <w:rPr>
          <w:rFonts w:ascii="Arial" w:hAnsi="Arial" w:cs="Arial"/>
        </w:rPr>
        <w:t xml:space="preserve"> Beni energetici </w:t>
      </w:r>
      <w:r>
        <w:rPr>
          <w:rFonts w:ascii="Arial" w:hAnsi="Arial" w:cs="Arial"/>
        </w:rPr>
        <w:t xml:space="preserve">non </w:t>
      </w:r>
      <w:r w:rsidRPr="009305EB">
        <w:rPr>
          <w:rFonts w:ascii="Arial" w:hAnsi="Arial" w:cs="Arial"/>
        </w:rPr>
        <w:t>regolamentati (-8,1%, da -10,0% di maggio)</w:t>
      </w:r>
      <w:r w:rsidR="00F561D5">
        <w:rPr>
          <w:rFonts w:ascii="Arial" w:hAnsi="Arial" w:cs="Arial"/>
        </w:rPr>
        <w:t xml:space="preserve"> e dall’accelerazione della crescita d</w:t>
      </w:r>
      <w:r w:rsidR="00212736">
        <w:rPr>
          <w:rFonts w:ascii="Arial" w:hAnsi="Arial" w:cs="Arial"/>
        </w:rPr>
        <w:t>e</w:t>
      </w:r>
      <w:r w:rsidR="00F561D5">
        <w:rPr>
          <w:rFonts w:ascii="Arial" w:hAnsi="Arial" w:cs="Arial"/>
        </w:rPr>
        <w:t>i</w:t>
      </w:r>
      <w:r w:rsidR="00212736">
        <w:rPr>
          <w:rFonts w:ascii="Arial" w:hAnsi="Arial" w:cs="Arial"/>
        </w:rPr>
        <w:t xml:space="preserve"> prezzi dei</w:t>
      </w:r>
      <w:r w:rsidR="00F561D5">
        <w:rPr>
          <w:rFonts w:ascii="Arial" w:hAnsi="Arial" w:cs="Arial"/>
        </w:rPr>
        <w:t xml:space="preserve"> Tabacchi (+2,9%, era +2,0% il mese precedente)</w:t>
      </w:r>
      <w:r w:rsidRPr="009305EB">
        <w:rPr>
          <w:rFonts w:ascii="Arial" w:hAnsi="Arial" w:cs="Arial"/>
        </w:rPr>
        <w:t>.</w:t>
      </w:r>
    </w:p>
    <w:p w:rsidR="00E225AD" w:rsidRPr="00D032B7" w:rsidRDefault="00E225AD" w:rsidP="00E225AD">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sidRPr="00D032B7">
        <w:rPr>
          <w:rFonts w:ascii="Arial" w:hAnsi="Arial" w:cs="Arial"/>
        </w:rPr>
        <w:t>La persistenza delle dinamiche deflazionistiche è in gran parte riconducibile a</w:t>
      </w:r>
      <w:r>
        <w:rPr>
          <w:rFonts w:ascii="Arial" w:hAnsi="Arial" w:cs="Arial"/>
        </w:rPr>
        <w:t>ll’ampio</w:t>
      </w:r>
      <w:r w:rsidRPr="00D032B7">
        <w:rPr>
          <w:rFonts w:ascii="Arial" w:hAnsi="Arial" w:cs="Arial"/>
        </w:rPr>
        <w:t xml:space="preserve"> cal</w:t>
      </w:r>
      <w:r>
        <w:rPr>
          <w:rFonts w:ascii="Arial" w:hAnsi="Arial" w:cs="Arial"/>
        </w:rPr>
        <w:t>o</w:t>
      </w:r>
      <w:r w:rsidRPr="00D032B7">
        <w:rPr>
          <w:rFonts w:ascii="Arial" w:hAnsi="Arial" w:cs="Arial"/>
        </w:rPr>
        <w:t xml:space="preserve"> dei prezzi dei Beni energetici</w:t>
      </w:r>
      <w:r>
        <w:rPr>
          <w:rFonts w:ascii="Arial" w:hAnsi="Arial" w:cs="Arial"/>
        </w:rPr>
        <w:t xml:space="preserve"> </w:t>
      </w:r>
      <w:r w:rsidRPr="00D032B7">
        <w:rPr>
          <w:rFonts w:ascii="Arial" w:hAnsi="Arial" w:cs="Arial"/>
        </w:rPr>
        <w:t>(-7,5% rispetto a giugno 2015)</w:t>
      </w:r>
      <w:r>
        <w:rPr>
          <w:rFonts w:ascii="Arial" w:hAnsi="Arial" w:cs="Arial"/>
        </w:rPr>
        <w:t>, sebbene meno intenso di quello registrato a maggio. Al netto di questi beni</w:t>
      </w:r>
      <w:r w:rsidRPr="00D032B7">
        <w:rPr>
          <w:rFonts w:ascii="Arial" w:hAnsi="Arial" w:cs="Arial"/>
        </w:rPr>
        <w:t xml:space="preserve"> l’inflazione, </w:t>
      </w:r>
      <w:r>
        <w:rPr>
          <w:rFonts w:ascii="Arial" w:hAnsi="Arial" w:cs="Arial"/>
        </w:rPr>
        <w:t xml:space="preserve">anche se in </w:t>
      </w:r>
      <w:r w:rsidRPr="00D032B7">
        <w:rPr>
          <w:rFonts w:ascii="Arial" w:hAnsi="Arial" w:cs="Arial"/>
        </w:rPr>
        <w:t xml:space="preserve">lieve ridimensionamento, resta positiva e pari a +0,4% (era +0,5% a maggio). </w:t>
      </w:r>
    </w:p>
    <w:p w:rsidR="00DF25CB" w:rsidRPr="00BF3D04"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Pr>
          <w:rFonts w:ascii="Arial" w:hAnsi="Arial" w:cs="Arial"/>
        </w:rPr>
        <w:t>A</w:t>
      </w:r>
      <w:r w:rsidRPr="00BF3D04">
        <w:rPr>
          <w:rFonts w:ascii="Arial" w:hAnsi="Arial" w:cs="Arial"/>
        </w:rPr>
        <w:t>l netto de</w:t>
      </w:r>
      <w:r>
        <w:rPr>
          <w:rFonts w:ascii="Arial" w:hAnsi="Arial" w:cs="Arial"/>
        </w:rPr>
        <w:t xml:space="preserve">gli alimentari non lavorati e dei beni energetici </w:t>
      </w:r>
      <w:r w:rsidRPr="00BF3D04">
        <w:rPr>
          <w:rFonts w:ascii="Arial" w:hAnsi="Arial" w:cs="Arial"/>
        </w:rPr>
        <w:t>l’</w:t>
      </w:r>
      <w:r>
        <w:rPr>
          <w:rFonts w:ascii="Arial" w:hAnsi="Arial" w:cs="Arial"/>
        </w:rPr>
        <w:t>”</w:t>
      </w:r>
      <w:r w:rsidRPr="00BF3D04">
        <w:rPr>
          <w:rFonts w:ascii="Arial" w:hAnsi="Arial" w:cs="Arial"/>
        </w:rPr>
        <w:t>inflazione</w:t>
      </w:r>
      <w:r>
        <w:rPr>
          <w:rFonts w:ascii="Arial" w:hAnsi="Arial" w:cs="Arial"/>
        </w:rPr>
        <w:t xml:space="preserve"> di fondo”</w:t>
      </w:r>
      <w:r w:rsidRPr="00BF3D04">
        <w:rPr>
          <w:rFonts w:ascii="Arial" w:hAnsi="Arial" w:cs="Arial"/>
        </w:rPr>
        <w:t xml:space="preserve">, </w:t>
      </w:r>
      <w:r>
        <w:rPr>
          <w:rFonts w:ascii="Arial" w:hAnsi="Arial" w:cs="Arial"/>
        </w:rPr>
        <w:t>rallenta e si porta a</w:t>
      </w:r>
      <w:r w:rsidRPr="00AF4096">
        <w:rPr>
          <w:rFonts w:ascii="Arial" w:hAnsi="Arial" w:cs="Arial"/>
          <w:highlight w:val="yellow"/>
        </w:rPr>
        <w:t xml:space="preserve"> </w:t>
      </w:r>
      <w:r w:rsidRPr="00D032B7">
        <w:rPr>
          <w:rFonts w:ascii="Arial" w:hAnsi="Arial" w:cs="Arial"/>
        </w:rPr>
        <w:t>+0,5% (da</w:t>
      </w:r>
      <w:r>
        <w:rPr>
          <w:rFonts w:ascii="Arial" w:hAnsi="Arial" w:cs="Arial"/>
        </w:rPr>
        <w:t xml:space="preserve"> </w:t>
      </w:r>
      <w:r w:rsidRPr="00BF3D04">
        <w:rPr>
          <w:rFonts w:ascii="Arial" w:hAnsi="Arial" w:cs="Arial"/>
        </w:rPr>
        <w:t>+0,</w:t>
      </w:r>
      <w:r>
        <w:rPr>
          <w:rFonts w:ascii="Arial" w:hAnsi="Arial" w:cs="Arial"/>
        </w:rPr>
        <w:t>6</w:t>
      </w:r>
      <w:r w:rsidRPr="00BF3D04">
        <w:rPr>
          <w:rFonts w:ascii="Arial" w:hAnsi="Arial" w:cs="Arial"/>
        </w:rPr>
        <w:t>%</w:t>
      </w:r>
      <w:r>
        <w:rPr>
          <w:rFonts w:ascii="Arial" w:hAnsi="Arial" w:cs="Arial"/>
        </w:rPr>
        <w:t xml:space="preserve"> di maggio</w:t>
      </w:r>
      <w:r w:rsidRPr="00BF3D04">
        <w:rPr>
          <w:rFonts w:ascii="Arial" w:hAnsi="Arial" w:cs="Arial"/>
        </w:rPr>
        <w:t>)</w:t>
      </w:r>
      <w:r>
        <w:rPr>
          <w:rFonts w:ascii="Arial" w:hAnsi="Arial" w:cs="Arial"/>
        </w:rPr>
        <w:t>.</w:t>
      </w:r>
    </w:p>
    <w:p w:rsidR="00DF25CB" w:rsidRPr="00115998" w:rsidRDefault="00DF25CB" w:rsidP="00DF25CB">
      <w:pPr>
        <w:widowControl/>
        <w:numPr>
          <w:ilvl w:val="0"/>
          <w:numId w:val="21"/>
        </w:numPr>
        <w:tabs>
          <w:tab w:val="clear" w:pos="502"/>
          <w:tab w:val="num" w:pos="0"/>
          <w:tab w:val="left" w:pos="284"/>
        </w:tabs>
        <w:overflowPunct/>
        <w:autoSpaceDE/>
        <w:autoSpaceDN/>
        <w:adjustRightInd/>
        <w:spacing w:before="0" w:after="80"/>
        <w:ind w:left="0" w:firstLine="0"/>
        <w:jc w:val="both"/>
        <w:rPr>
          <w:rFonts w:ascii="Arial" w:hAnsi="Arial" w:cs="Arial"/>
        </w:rPr>
      </w:pPr>
      <w:r w:rsidRPr="00115998">
        <w:rPr>
          <w:rFonts w:ascii="Arial" w:hAnsi="Arial" w:cs="Arial"/>
        </w:rPr>
        <w:t>L’inflazione acquisita per il 2016 è pari a -0,2% (era -0,3% a maggio).</w:t>
      </w:r>
    </w:p>
    <w:p w:rsidR="00DF25CB" w:rsidRPr="00115998"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sidRPr="00115998">
        <w:rPr>
          <w:rFonts w:ascii="Arial" w:hAnsi="Arial" w:cs="Arial"/>
          <w:iCs/>
          <w:noProof/>
        </w:rPr>
        <w:t>Rispetto a giugno 2015, i prezzi dei beni registrano una lieve attenuazione della flessione (-0,9%, da           -1,0% di maggio), mentre il tasso di crescita dei prezzi dei servizi è stabile a +0,4%</w:t>
      </w:r>
      <w:r>
        <w:rPr>
          <w:rFonts w:ascii="Arial" w:hAnsi="Arial" w:cs="Arial"/>
          <w:iCs/>
          <w:noProof/>
        </w:rPr>
        <w:t xml:space="preserve">. </w:t>
      </w:r>
      <w:r w:rsidRPr="00115998">
        <w:rPr>
          <w:rFonts w:ascii="Arial" w:hAnsi="Arial" w:cs="Arial"/>
          <w:iCs/>
          <w:noProof/>
        </w:rPr>
        <w:t xml:space="preserve">Di conseguenza, rispetto a maggio 2016, </w:t>
      </w:r>
      <w:r w:rsidRPr="00115998">
        <w:rPr>
          <w:rFonts w:ascii="Arial" w:hAnsi="Arial" w:cs="Arial"/>
        </w:rPr>
        <w:t>il differenziale</w:t>
      </w:r>
      <w:r w:rsidRPr="00115998">
        <w:rPr>
          <w:rFonts w:ascii="Arial" w:hAnsi="Arial" w:cs="Arial"/>
          <w:iCs/>
          <w:noProof/>
        </w:rPr>
        <w:t xml:space="preserve"> </w:t>
      </w:r>
      <w:r w:rsidRPr="00115998">
        <w:rPr>
          <w:rFonts w:ascii="Arial" w:hAnsi="Arial" w:cs="Arial"/>
        </w:rPr>
        <w:t>inflazionistico tra servizi e beni si riduce di un decimo di punto percentuale.</w:t>
      </w:r>
    </w:p>
    <w:p w:rsidR="00DF25CB" w:rsidRPr="007A4A23"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Pr>
          <w:rFonts w:ascii="Arial" w:hAnsi="Arial" w:cs="Arial"/>
          <w:iCs/>
          <w:noProof/>
        </w:rPr>
        <w:t xml:space="preserve">I prezzi dei beni alimentari, per la cura della casa e della persona </w:t>
      </w:r>
      <w:r w:rsidRPr="00AA1648">
        <w:rPr>
          <w:rFonts w:ascii="Arial" w:hAnsi="Arial" w:cs="Arial"/>
          <w:iCs/>
          <w:noProof/>
        </w:rPr>
        <w:t>aumentano dello 0,1% sia su base</w:t>
      </w:r>
      <w:r>
        <w:rPr>
          <w:rFonts w:ascii="Arial" w:hAnsi="Arial" w:cs="Arial"/>
          <w:iCs/>
          <w:noProof/>
        </w:rPr>
        <w:t xml:space="preserve"> mensile sia su base annua (a maggio la variazione era nulla).</w:t>
      </w:r>
    </w:p>
    <w:p w:rsidR="00DF25CB" w:rsidRPr="005722B1" w:rsidRDefault="00DF25CB" w:rsidP="00DF25CB">
      <w:pPr>
        <w:widowControl/>
        <w:numPr>
          <w:ilvl w:val="0"/>
          <w:numId w:val="21"/>
        </w:numPr>
        <w:tabs>
          <w:tab w:val="clear" w:pos="502"/>
          <w:tab w:val="num" w:pos="284"/>
        </w:tabs>
        <w:overflowPunct/>
        <w:autoSpaceDE/>
        <w:autoSpaceDN/>
        <w:adjustRightInd/>
        <w:spacing w:before="0" w:after="80"/>
        <w:ind w:left="0" w:firstLine="0"/>
        <w:jc w:val="both"/>
        <w:rPr>
          <w:rFonts w:ascii="Arial" w:hAnsi="Arial" w:cs="Arial"/>
        </w:rPr>
      </w:pPr>
      <w:r w:rsidRPr="005722B1">
        <w:rPr>
          <w:rFonts w:ascii="Arial" w:hAnsi="Arial" w:cs="Arial"/>
          <w:iCs/>
          <w:noProof/>
        </w:rPr>
        <w:t>I prezzi dei prodotti ad alta frequenza di acquisto aumentano dello 0,3% in termini congiunturali e diminuiscono dello 0,3% in termini tendenziali (era        -0,</w:t>
      </w:r>
      <w:r w:rsidR="005722B1" w:rsidRPr="005722B1">
        <w:rPr>
          <w:rFonts w:ascii="Arial" w:hAnsi="Arial" w:cs="Arial"/>
          <w:iCs/>
          <w:noProof/>
        </w:rPr>
        <w:t>6</w:t>
      </w:r>
      <w:r w:rsidRPr="005722B1">
        <w:rPr>
          <w:rFonts w:ascii="Arial" w:hAnsi="Arial" w:cs="Arial"/>
          <w:iCs/>
          <w:noProof/>
        </w:rPr>
        <w:t>% il mese precedente).</w:t>
      </w:r>
    </w:p>
    <w:p w:rsidR="00DF25CB" w:rsidRDefault="00DF25CB" w:rsidP="00DF25CB">
      <w:pPr>
        <w:widowControl/>
        <w:numPr>
          <w:ilvl w:val="0"/>
          <w:numId w:val="21"/>
        </w:numPr>
        <w:tabs>
          <w:tab w:val="clear" w:pos="502"/>
          <w:tab w:val="num" w:pos="284"/>
          <w:tab w:val="num" w:pos="720"/>
          <w:tab w:val="num" w:pos="786"/>
          <w:tab w:val="num" w:pos="1637"/>
        </w:tabs>
        <w:overflowPunct/>
        <w:autoSpaceDE/>
        <w:autoSpaceDN/>
        <w:adjustRightInd/>
        <w:spacing w:before="0" w:after="80"/>
        <w:ind w:left="0" w:firstLine="0"/>
        <w:jc w:val="both"/>
        <w:rPr>
          <w:rFonts w:ascii="Arial" w:hAnsi="Arial" w:cs="Arial"/>
          <w:iCs/>
          <w:noProof/>
        </w:rPr>
      </w:pPr>
      <w:r w:rsidRPr="00C72A32">
        <w:rPr>
          <w:rFonts w:ascii="Arial" w:hAnsi="Arial" w:cs="Arial"/>
          <w:iCs/>
          <w:noProof/>
        </w:rPr>
        <w:t xml:space="preserve">Secondo le stime preliminari, l’indice armonizzato dei prezzi al consumo (IPCA) </w:t>
      </w:r>
      <w:r w:rsidRPr="00ED7758">
        <w:rPr>
          <w:rFonts w:ascii="Arial" w:hAnsi="Arial" w:cs="Arial"/>
          <w:iCs/>
          <w:noProof/>
        </w:rPr>
        <w:t>aumenta dello 0,1%</w:t>
      </w:r>
      <w:r w:rsidRPr="00C72A32">
        <w:rPr>
          <w:rFonts w:ascii="Arial" w:hAnsi="Arial" w:cs="Arial"/>
          <w:iCs/>
          <w:noProof/>
        </w:rPr>
        <w:t xml:space="preserve"> su base mensile </w:t>
      </w:r>
      <w:r>
        <w:rPr>
          <w:rFonts w:ascii="Arial" w:hAnsi="Arial" w:cs="Arial"/>
          <w:iCs/>
          <w:noProof/>
        </w:rPr>
        <w:t xml:space="preserve">e </w:t>
      </w:r>
      <w:r w:rsidRPr="00ED7758">
        <w:rPr>
          <w:rFonts w:ascii="Arial" w:hAnsi="Arial" w:cs="Arial"/>
          <w:iCs/>
          <w:noProof/>
        </w:rPr>
        <w:t>diminuisce</w:t>
      </w:r>
      <w:r>
        <w:rPr>
          <w:rFonts w:ascii="Arial" w:hAnsi="Arial" w:cs="Arial"/>
          <w:iCs/>
          <w:noProof/>
        </w:rPr>
        <w:t>, come a maggio,</w:t>
      </w:r>
      <w:r w:rsidRPr="00ED7758">
        <w:rPr>
          <w:rFonts w:ascii="Arial" w:hAnsi="Arial" w:cs="Arial"/>
          <w:iCs/>
          <w:noProof/>
        </w:rPr>
        <w:t xml:space="preserve"> dello 0,3%</w:t>
      </w:r>
      <w:r w:rsidRPr="00C72A32">
        <w:rPr>
          <w:rFonts w:ascii="Arial" w:hAnsi="Arial" w:cs="Arial"/>
          <w:iCs/>
          <w:noProof/>
        </w:rPr>
        <w:t xml:space="preserve"> su base annua</w:t>
      </w:r>
      <w:r>
        <w:rPr>
          <w:rFonts w:ascii="Arial" w:hAnsi="Arial" w:cs="Arial"/>
          <w:iCs/>
          <w:noProof/>
        </w:rPr>
        <w:t>.</w:t>
      </w:r>
      <w:r w:rsidRPr="00C72A32">
        <w:rPr>
          <w:rFonts w:ascii="Arial" w:hAnsi="Arial" w:cs="Arial"/>
          <w:iCs/>
          <w:noProof/>
        </w:rPr>
        <w:t xml:space="preserve"> </w:t>
      </w:r>
    </w:p>
    <w:p w:rsidR="00F57EE2" w:rsidRDefault="00F57EE2" w:rsidP="00F57EE2">
      <w:pPr>
        <w:widowControl/>
        <w:tabs>
          <w:tab w:val="num" w:pos="720"/>
          <w:tab w:val="num" w:pos="786"/>
          <w:tab w:val="num" w:pos="1637"/>
        </w:tabs>
        <w:overflowPunct/>
        <w:autoSpaceDE/>
        <w:autoSpaceDN/>
        <w:adjustRightInd/>
        <w:spacing w:before="0" w:after="80"/>
        <w:jc w:val="both"/>
        <w:rPr>
          <w:rFonts w:ascii="Arial" w:hAnsi="Arial" w:cs="Arial"/>
          <w:iCs/>
          <w:noProof/>
        </w:rPr>
      </w:pPr>
    </w:p>
    <w:p w:rsidR="00212736" w:rsidRPr="00C72A32" w:rsidRDefault="00212736" w:rsidP="00F57EE2">
      <w:pPr>
        <w:widowControl/>
        <w:tabs>
          <w:tab w:val="num" w:pos="720"/>
          <w:tab w:val="num" w:pos="786"/>
          <w:tab w:val="num" w:pos="1637"/>
        </w:tabs>
        <w:overflowPunct/>
        <w:autoSpaceDE/>
        <w:autoSpaceDN/>
        <w:adjustRightInd/>
        <w:spacing w:before="0" w:after="80"/>
        <w:jc w:val="both"/>
        <w:rPr>
          <w:rFonts w:ascii="Arial" w:hAnsi="Arial" w:cs="Arial"/>
          <w:iCs/>
          <w:noProof/>
        </w:rPr>
      </w:pPr>
    </w:p>
    <w:p w:rsidR="007D4514" w:rsidRPr="009A7BA5" w:rsidRDefault="007D4514" w:rsidP="007D4514">
      <w:pPr>
        <w:tabs>
          <w:tab w:val="left" w:pos="284"/>
        </w:tabs>
        <w:spacing w:before="0" w:after="0"/>
        <w:jc w:val="both"/>
        <w:rPr>
          <w:rFonts w:ascii="Arial" w:hAnsi="Arial" w:cs="Arial"/>
          <w:iCs/>
          <w:noProof/>
          <w:color w:val="000000"/>
          <w:sz w:val="16"/>
          <w:szCs w:val="16"/>
        </w:rPr>
      </w:pPr>
      <w:r w:rsidRPr="009A7BA5">
        <w:rPr>
          <w:rFonts w:ascii="Arial" w:hAnsi="Arial" w:cs="Arial"/>
          <w:noProof/>
          <w:color w:val="000000"/>
          <w:sz w:val="16"/>
          <w:szCs w:val="16"/>
        </w:rPr>
        <w:drawing>
          <wp:inline distT="0" distB="0" distL="0" distR="0" wp14:anchorId="47BD647D" wp14:editId="47C4E56D">
            <wp:extent cx="180975" cy="180975"/>
            <wp:effectExtent l="0" t="0" r="9525" b="9525"/>
            <wp:docPr id="49" name="Immagine 49" descr="quadrato-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quadrato-gran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103C7">
        <w:rPr>
          <w:noProof/>
        </w:rPr>
        <mc:AlternateContent>
          <mc:Choice Requires="wps">
            <w:drawing>
              <wp:anchor distT="0" distB="0" distL="114300" distR="114300" simplePos="0" relativeHeight="251685376" behindDoc="0" locked="0" layoutInCell="1" allowOverlap="1" wp14:anchorId="67A27484" wp14:editId="5E5CD7B3">
                <wp:simplePos x="0" y="0"/>
                <wp:positionH relativeFrom="column">
                  <wp:posOffset>240665</wp:posOffset>
                </wp:positionH>
                <wp:positionV relativeFrom="paragraph">
                  <wp:posOffset>10160</wp:posOffset>
                </wp:positionV>
                <wp:extent cx="1979930" cy="161925"/>
                <wp:effectExtent l="0" t="0" r="20320" b="2857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9930" cy="161925"/>
                        </a:xfrm>
                        <a:prstGeom prst="rect">
                          <a:avLst/>
                        </a:prstGeom>
                        <a:solidFill>
                          <a:srgbClr val="808080"/>
                        </a:solidFill>
                        <a:ln w="9525">
                          <a:solidFill>
                            <a:srgbClr val="808080"/>
                          </a:solidFill>
                          <a:miter lim="800000"/>
                          <a:headEnd/>
                          <a:tailEnd/>
                        </a:ln>
                      </wps:spPr>
                      <wps:txbx>
                        <w:txbxContent>
                          <w:p w:rsidR="00E225AD" w:rsidRPr="008F5901" w:rsidRDefault="00E225AD" w:rsidP="007D4514">
                            <w:pPr>
                              <w:spacing w:before="0" w:after="0"/>
                              <w:rPr>
                                <w:rFonts w:ascii="Arial Narrow" w:hAnsi="Arial Narrow"/>
                                <w:color w:val="FFFFFF"/>
                              </w:rPr>
                            </w:pPr>
                            <w:r w:rsidRPr="008F5901">
                              <w:rPr>
                                <w:rFonts w:ascii="Arial Narrow" w:hAnsi="Arial Narrow"/>
                                <w:color w:val="FFFFFF"/>
                              </w:rPr>
                              <w:t xml:space="preserve">Prossima diffusione: </w:t>
                            </w:r>
                            <w:r>
                              <w:rPr>
                                <w:rFonts w:ascii="Arial Narrow" w:hAnsi="Arial Narrow"/>
                                <w:color w:val="FFFFFF"/>
                              </w:rPr>
                              <w:t>13 luglio 2016</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5pt;margin-top:.8pt;width:155.9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" fillcolor="gray" strokecolor="gray">
                <v:path arrowok="t"/>
                <v:textbox inset=".5mm,0,.5mm,0">
                  <w:txbxContent>
                    <w:p w:rsidR="00E225AD" w:rsidRPr="008F5901" w:rsidRDefault="00E225AD" w:rsidP="007D4514">
                      <w:pPr>
                        <w:spacing w:before="0" w:after="0"/>
                        <w:rPr>
                          <w:rFonts w:ascii="Arial Narrow" w:hAnsi="Arial Narrow"/>
                          <w:color w:val="FFFFFF"/>
                        </w:rPr>
                      </w:pPr>
                      <w:r w:rsidRPr="008F5901">
                        <w:rPr>
                          <w:rFonts w:ascii="Arial Narrow" w:hAnsi="Arial Narrow"/>
                          <w:color w:val="FFFFFF"/>
                        </w:rPr>
                        <w:t xml:space="preserve">Prossima diffusione: </w:t>
                      </w:r>
                      <w:r>
                        <w:rPr>
                          <w:rFonts w:ascii="Arial Narrow" w:hAnsi="Arial Narrow"/>
                          <w:color w:val="FFFFFF"/>
                        </w:rPr>
                        <w:t>13 luglio 2016</w:t>
                      </w:r>
                    </w:p>
                  </w:txbxContent>
                </v:textbox>
              </v:shape>
            </w:pict>
          </mc:Fallback>
        </mc:AlternateContent>
      </w:r>
      <w:r w:rsidRPr="009A7BA5">
        <w:rPr>
          <w:rFonts w:ascii="Arial" w:hAnsi="Arial" w:cs="Arial"/>
          <w:iCs/>
          <w:noProof/>
          <w:color w:val="000000"/>
          <w:sz w:val="16"/>
          <w:szCs w:val="16"/>
        </w:rPr>
        <w:t xml:space="preserve"> </w:t>
      </w:r>
    </w:p>
    <w:p w:rsidR="00A423FC" w:rsidRDefault="00A423FC" w:rsidP="00CD1E15">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before="0" w:after="60"/>
        <w:rPr>
          <w:rFonts w:ascii="Arial Narrow" w:hAnsi="Arial Narrow" w:cs="Arial"/>
          <w:b/>
          <w:bCs/>
          <w:color w:val="5F5F5F"/>
        </w:rPr>
      </w:pPr>
    </w:p>
    <w:p w:rsidR="0028792F" w:rsidRDefault="0028792F" w:rsidP="00CD1E15">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before="0" w:after="60"/>
        <w:rPr>
          <w:rFonts w:ascii="Arial Narrow" w:hAnsi="Arial Narrow" w:cs="Arial"/>
          <w:b/>
          <w:bCs/>
          <w:color w:val="5F5F5F"/>
        </w:rPr>
      </w:pPr>
    </w:p>
    <w:p w:rsidR="0028792F" w:rsidRDefault="0028792F" w:rsidP="00CD1E15">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before="0" w:after="60"/>
        <w:rPr>
          <w:rFonts w:ascii="Arial Narrow" w:hAnsi="Arial Narrow" w:cs="Arial"/>
          <w:b/>
          <w:bCs/>
          <w:color w:val="5F5F5F"/>
        </w:rPr>
      </w:pPr>
    </w:p>
    <w:p w:rsidR="000F4D00" w:rsidRPr="009A7BA5" w:rsidRDefault="002103C7" w:rsidP="00CD1E15">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before="0" w:after="60"/>
        <w:rPr>
          <w:rFonts w:ascii="Arial Narrow" w:hAnsi="Arial Narrow" w:cs="Arial"/>
        </w:rPr>
      </w:pPr>
      <w:r>
        <w:rPr>
          <w:noProof/>
        </w:rPr>
        <mc:AlternateContent>
          <mc:Choice Requires="wps">
            <w:drawing>
              <wp:anchor distT="0" distB="0" distL="114300" distR="114300" simplePos="0" relativeHeight="251656704" behindDoc="0" locked="0" layoutInCell="1" allowOverlap="1" wp14:anchorId="61EAD362" wp14:editId="08BC3F21">
                <wp:simplePos x="0" y="0"/>
                <wp:positionH relativeFrom="column">
                  <wp:posOffset>6548755</wp:posOffset>
                </wp:positionH>
                <wp:positionV relativeFrom="paragraph">
                  <wp:posOffset>-6407785</wp:posOffset>
                </wp:positionV>
                <wp:extent cx="93345" cy="294640"/>
                <wp:effectExtent l="0" t="0" r="1905"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3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AD" w:rsidRDefault="00E225AD" w:rsidP="00723918"/>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15.65pt;margin-top:-504.55pt;width:7.35pt;height:23.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" filled="f" stroked="f">
                <v:path arrowok="t"/>
                <v:textbox style="mso-fit-shape-to-text:t" inset=".5mm,.3mm,.5mm,.3mm">
                  <w:txbxContent>
                    <w:p w:rsidR="00E225AD" w:rsidRDefault="00E225AD" w:rsidP="00723918"/>
                  </w:txbxContent>
                </v:textbox>
              </v:shape>
            </w:pict>
          </mc:Fallback>
        </mc:AlternateContent>
      </w:r>
      <w:r w:rsidR="000F0106">
        <w:rPr>
          <w:rFonts w:ascii="Arial Narrow" w:hAnsi="Arial Narrow" w:cs="Arial"/>
          <w:b/>
          <w:bCs/>
          <w:color w:val="5F5F5F"/>
        </w:rPr>
        <w:t>I</w:t>
      </w:r>
      <w:r w:rsidR="000F4D00" w:rsidRPr="009A7BA5">
        <w:rPr>
          <w:rFonts w:ascii="Arial Narrow" w:hAnsi="Arial Narrow" w:cs="Arial"/>
          <w:b/>
          <w:bCs/>
          <w:color w:val="5F5F5F"/>
        </w:rPr>
        <w:t>NDICE GENERALE NIC</w:t>
      </w:r>
      <w:r w:rsidR="000F4D00" w:rsidRPr="009A7BA5">
        <w:rPr>
          <w:rFonts w:ascii="Arial Narrow" w:hAnsi="Arial Narrow" w:cs="Arial"/>
          <w:b/>
          <w:bCs/>
        </w:rPr>
        <w:br/>
      </w:r>
      <w:r w:rsidR="004C2506">
        <w:rPr>
          <w:rFonts w:ascii="Arial Narrow" w:hAnsi="Arial Narrow" w:cs="Arial"/>
          <w:sz w:val="19"/>
          <w:szCs w:val="19"/>
        </w:rPr>
        <w:t>Giugno</w:t>
      </w:r>
      <w:r w:rsidR="00372368" w:rsidRPr="009A7BA5">
        <w:rPr>
          <w:rFonts w:ascii="Arial Narrow" w:hAnsi="Arial Narrow" w:cs="Arial"/>
          <w:sz w:val="19"/>
          <w:szCs w:val="19"/>
        </w:rPr>
        <w:t xml:space="preserve"> </w:t>
      </w:r>
      <w:r w:rsidR="0060265A" w:rsidRPr="009A7BA5">
        <w:rPr>
          <w:rFonts w:ascii="Arial Narrow" w:hAnsi="Arial Narrow" w:cs="Arial"/>
          <w:sz w:val="19"/>
          <w:szCs w:val="19"/>
        </w:rPr>
        <w:t>201</w:t>
      </w:r>
      <w:r w:rsidR="0008280D">
        <w:rPr>
          <w:rFonts w:ascii="Arial Narrow" w:hAnsi="Arial Narrow" w:cs="Arial"/>
          <w:sz w:val="19"/>
          <w:szCs w:val="19"/>
        </w:rPr>
        <w:t>5</w:t>
      </w:r>
      <w:r w:rsidR="0060265A" w:rsidRPr="009A7BA5">
        <w:rPr>
          <w:rFonts w:ascii="Arial Narrow" w:hAnsi="Arial Narrow" w:cs="Arial"/>
          <w:sz w:val="19"/>
          <w:szCs w:val="19"/>
        </w:rPr>
        <w:t>-</w:t>
      </w:r>
      <w:r w:rsidR="004C2506">
        <w:rPr>
          <w:rFonts w:ascii="Arial Narrow" w:hAnsi="Arial Narrow" w:cs="Arial"/>
          <w:sz w:val="19"/>
          <w:szCs w:val="19"/>
        </w:rPr>
        <w:t>giugno</w:t>
      </w:r>
      <w:r w:rsidR="00DF26D9">
        <w:rPr>
          <w:rFonts w:ascii="Arial Narrow" w:hAnsi="Arial Narrow" w:cs="Arial"/>
          <w:sz w:val="19"/>
          <w:szCs w:val="19"/>
        </w:rPr>
        <w:t xml:space="preserve"> </w:t>
      </w:r>
      <w:r w:rsidR="0060265A" w:rsidRPr="009A7BA5">
        <w:rPr>
          <w:rFonts w:ascii="Arial Narrow" w:hAnsi="Arial Narrow" w:cs="Arial"/>
          <w:sz w:val="19"/>
          <w:szCs w:val="19"/>
        </w:rPr>
        <w:t>201</w:t>
      </w:r>
      <w:r w:rsidR="0008280D">
        <w:rPr>
          <w:rFonts w:ascii="Arial Narrow" w:hAnsi="Arial Narrow" w:cs="Arial"/>
          <w:sz w:val="19"/>
          <w:szCs w:val="19"/>
        </w:rPr>
        <w:t>6</w:t>
      </w:r>
      <w:r w:rsidR="0060265A" w:rsidRPr="009A7BA5">
        <w:rPr>
          <w:rFonts w:ascii="Arial Narrow" w:hAnsi="Arial Narrow" w:cs="Arial"/>
          <w:sz w:val="19"/>
          <w:szCs w:val="19"/>
        </w:rPr>
        <w:t>, variazioni percentuali congiunturali</w:t>
      </w:r>
    </w:p>
    <w:p w:rsidR="00212736" w:rsidRDefault="0091710B" w:rsidP="00302A3F">
      <w:pPr>
        <w:tabs>
          <w:tab w:val="left" w:pos="5093"/>
        </w:tabs>
        <w:spacing w:before="0" w:after="40"/>
        <w:ind w:right="2950"/>
        <w:jc w:val="both"/>
        <w:rPr>
          <w:rFonts w:ascii="Arial" w:hAnsi="Arial" w:cs="Arial"/>
          <w:noProof/>
          <w:color w:val="000000"/>
          <w:sz w:val="16"/>
          <w:szCs w:val="16"/>
        </w:rPr>
      </w:pPr>
      <w:r w:rsidRPr="009A7BA5">
        <w:rPr>
          <w:noProof/>
        </w:rPr>
        <w:drawing>
          <wp:anchor distT="0" distB="0" distL="114300" distR="114300" simplePos="0" relativeHeight="251658752" behindDoc="0" locked="0" layoutInCell="1" allowOverlap="1" wp14:anchorId="07CA80C7" wp14:editId="7EBAFA14">
            <wp:simplePos x="0" y="0"/>
            <wp:positionH relativeFrom="column">
              <wp:posOffset>2931590</wp:posOffset>
            </wp:positionH>
            <wp:positionV relativeFrom="paragraph">
              <wp:posOffset>36215</wp:posOffset>
            </wp:positionV>
            <wp:extent cx="247650" cy="1495425"/>
            <wp:effectExtent l="0" t="0" r="0" b="9525"/>
            <wp:wrapNone/>
            <wp:docPr id="2" name="Immagine 20" descr="congiun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congiuntura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495425"/>
                    </a:xfrm>
                    <a:prstGeom prst="rect">
                      <a:avLst/>
                    </a:prstGeom>
                    <a:noFill/>
                  </pic:spPr>
                </pic:pic>
              </a:graphicData>
            </a:graphic>
          </wp:anchor>
        </w:drawing>
      </w:r>
      <w:r w:rsidR="007D4241">
        <w:rPr>
          <w:rFonts w:ascii="Arial" w:hAnsi="Arial" w:cs="Arial"/>
          <w:noProof/>
          <w:color w:val="000000"/>
          <w:sz w:val="16"/>
          <w:szCs w:val="16"/>
        </w:rPr>
        <w:fldChar w:fldCharType="begin"/>
      </w:r>
      <w:r w:rsidR="007D4241">
        <w:rPr>
          <w:rFonts w:ascii="Arial" w:hAnsi="Arial" w:cs="Arial"/>
          <w:noProof/>
          <w:color w:val="000000"/>
          <w:sz w:val="16"/>
          <w:szCs w:val="16"/>
        </w:rPr>
        <w:instrText xml:space="preserve"> LINK Excel.Sheet.12 "\\\\nas-balbo\\TICINO55\\Consumo4\\Diffusione\\comunica\\anno 2016\\IPC_grafici_primapagina_comunicato.xlsx!dati![IPC_grafici_primapagina_comunicato.xlsx]dati Grafico 1" "" \a \p </w:instrText>
      </w:r>
      <w:r w:rsidR="007D4241">
        <w:rPr>
          <w:rFonts w:ascii="Arial" w:hAnsi="Arial" w:cs="Arial"/>
          <w:noProof/>
          <w:color w:val="000000"/>
          <w:sz w:val="16"/>
          <w:szCs w:val="16"/>
        </w:rPr>
        <w:fldChar w:fldCharType="separate"/>
      </w:r>
      <w:r w:rsidR="00823241">
        <w:rPr>
          <w:rFonts w:ascii="Arial" w:hAnsi="Arial" w:cs="Arial"/>
          <w:noProof/>
          <w:color w:val="000000"/>
          <w:sz w:val="16"/>
          <w:szCs w:val="16"/>
        </w:rPr>
        <w:object w:dxaOrig="4471" w:dyaOrig="2550">
          <v:shape id="_x0000_i1025" type="#_x0000_t75" style="width:223.55pt;height:127.5pt" o:bordertopcolor="this" o:borderbottomcolor="this">
            <v:imagedata r:id="rId14" o:title=""/>
            <w10:bordertop type="single" width="4"/>
            <w10:borderbottom type="single" width="4"/>
          </v:shape>
        </w:object>
      </w:r>
      <w:r w:rsidR="007D4241">
        <w:rPr>
          <w:rFonts w:ascii="Arial" w:hAnsi="Arial" w:cs="Arial"/>
          <w:noProof/>
          <w:color w:val="000000"/>
          <w:sz w:val="16"/>
          <w:szCs w:val="16"/>
        </w:rPr>
        <w:fldChar w:fldCharType="end"/>
      </w:r>
    </w:p>
    <w:p w:rsidR="0058158C" w:rsidRPr="0028792F" w:rsidRDefault="0058158C" w:rsidP="00302A3F">
      <w:pPr>
        <w:tabs>
          <w:tab w:val="left" w:pos="5093"/>
        </w:tabs>
        <w:spacing w:before="0" w:after="40"/>
        <w:ind w:right="2950"/>
        <w:jc w:val="both"/>
        <w:rPr>
          <w:rFonts w:ascii="Arial" w:hAnsi="Arial" w:cs="Arial"/>
          <w:color w:val="000000"/>
          <w:sz w:val="12"/>
          <w:szCs w:val="12"/>
        </w:rPr>
      </w:pPr>
    </w:p>
    <w:p w:rsidR="006F7C03" w:rsidRDefault="006F7C03" w:rsidP="00CD1E15">
      <w:pPr>
        <w:tabs>
          <w:tab w:val="left" w:pos="5093"/>
        </w:tabs>
        <w:spacing w:before="0" w:after="60"/>
        <w:jc w:val="both"/>
        <w:rPr>
          <w:rFonts w:ascii="Arial Narrow" w:hAnsi="Arial Narrow" w:cs="Arial"/>
          <w:b/>
          <w:bCs/>
          <w:color w:val="5F5F5F"/>
          <w:sz w:val="12"/>
          <w:szCs w:val="12"/>
        </w:rPr>
      </w:pPr>
    </w:p>
    <w:p w:rsidR="00212736" w:rsidRPr="0028792F" w:rsidRDefault="00212736" w:rsidP="00CD1E15">
      <w:pPr>
        <w:tabs>
          <w:tab w:val="left" w:pos="5093"/>
        </w:tabs>
        <w:spacing w:before="0" w:after="60"/>
        <w:jc w:val="both"/>
        <w:rPr>
          <w:rFonts w:ascii="Arial Narrow" w:hAnsi="Arial Narrow" w:cs="Arial"/>
          <w:b/>
          <w:bCs/>
          <w:color w:val="5F5F5F"/>
          <w:sz w:val="12"/>
          <w:szCs w:val="12"/>
        </w:rPr>
      </w:pPr>
    </w:p>
    <w:p w:rsidR="006F7C03" w:rsidRPr="0028792F" w:rsidRDefault="006F7C03" w:rsidP="00CD1E15">
      <w:pPr>
        <w:tabs>
          <w:tab w:val="left" w:pos="5093"/>
        </w:tabs>
        <w:spacing w:before="0" w:after="60"/>
        <w:jc w:val="both"/>
        <w:rPr>
          <w:rFonts w:ascii="Arial Narrow" w:hAnsi="Arial Narrow" w:cs="Arial"/>
          <w:b/>
          <w:bCs/>
          <w:color w:val="5F5F5F"/>
          <w:sz w:val="12"/>
          <w:szCs w:val="12"/>
        </w:rPr>
      </w:pPr>
    </w:p>
    <w:p w:rsidR="00311EE9" w:rsidRDefault="0028792F" w:rsidP="00311EE9">
      <w:pPr>
        <w:tabs>
          <w:tab w:val="left" w:pos="5093"/>
        </w:tabs>
        <w:spacing w:before="0" w:after="60"/>
        <w:jc w:val="both"/>
        <w:rPr>
          <w:rFonts w:ascii="Arial Narrow" w:hAnsi="Arial Narrow" w:cs="Arial"/>
          <w:sz w:val="19"/>
          <w:szCs w:val="19"/>
        </w:rPr>
      </w:pPr>
      <w:r w:rsidRPr="009A7BA5">
        <w:rPr>
          <w:noProof/>
        </w:rPr>
        <w:drawing>
          <wp:anchor distT="0" distB="0" distL="114300" distR="114300" simplePos="0" relativeHeight="251660800" behindDoc="0" locked="0" layoutInCell="1" allowOverlap="1" wp14:anchorId="69629585" wp14:editId="060EF9CB">
            <wp:simplePos x="0" y="0"/>
            <wp:positionH relativeFrom="column">
              <wp:posOffset>2957994</wp:posOffset>
            </wp:positionH>
            <wp:positionV relativeFrom="page">
              <wp:posOffset>5552440</wp:posOffset>
            </wp:positionV>
            <wp:extent cx="183515" cy="1551305"/>
            <wp:effectExtent l="0" t="0" r="6985" b="0"/>
            <wp:wrapNone/>
            <wp:docPr id="1" name="Immagine 53" descr="tendenz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3" descr="tendenzial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 cy="1551305"/>
                    </a:xfrm>
                    <a:prstGeom prst="rect">
                      <a:avLst/>
                    </a:prstGeom>
                    <a:noFill/>
                  </pic:spPr>
                </pic:pic>
              </a:graphicData>
            </a:graphic>
          </wp:anchor>
        </w:drawing>
      </w:r>
      <w:r w:rsidR="000F4D00" w:rsidRPr="009A7BA5">
        <w:rPr>
          <w:rFonts w:ascii="Arial Narrow" w:hAnsi="Arial Narrow" w:cs="Arial"/>
          <w:b/>
          <w:bCs/>
          <w:color w:val="5F5F5F"/>
        </w:rPr>
        <w:t>INDICE GENERALE NIC</w:t>
      </w:r>
      <w:r w:rsidR="000F4D00" w:rsidRPr="009A7BA5">
        <w:rPr>
          <w:rFonts w:ascii="Arial Narrow" w:hAnsi="Arial Narrow" w:cs="Arial"/>
        </w:rPr>
        <w:t xml:space="preserve"> </w:t>
      </w:r>
      <w:r w:rsidR="000F4D00" w:rsidRPr="009A7BA5">
        <w:rPr>
          <w:rFonts w:ascii="Arial Narrow" w:hAnsi="Arial Narrow" w:cs="Arial"/>
        </w:rPr>
        <w:tab/>
      </w:r>
      <w:r w:rsidR="000F4D00" w:rsidRPr="009A7BA5">
        <w:rPr>
          <w:rFonts w:ascii="Arial Narrow" w:hAnsi="Arial Narrow" w:cs="Arial"/>
        </w:rPr>
        <w:br/>
      </w:r>
      <w:r w:rsidR="004C2506">
        <w:rPr>
          <w:rFonts w:ascii="Arial Narrow" w:hAnsi="Arial Narrow" w:cs="Arial"/>
          <w:sz w:val="19"/>
          <w:szCs w:val="19"/>
        </w:rPr>
        <w:t>Giugno</w:t>
      </w:r>
      <w:r w:rsidR="001440DD" w:rsidRPr="009A7BA5">
        <w:rPr>
          <w:rFonts w:ascii="Arial Narrow" w:hAnsi="Arial Narrow" w:cs="Arial"/>
          <w:sz w:val="19"/>
          <w:szCs w:val="19"/>
        </w:rPr>
        <w:t xml:space="preserve"> 201</w:t>
      </w:r>
      <w:r w:rsidR="0008280D">
        <w:rPr>
          <w:rFonts w:ascii="Arial Narrow" w:hAnsi="Arial Narrow" w:cs="Arial"/>
          <w:sz w:val="19"/>
          <w:szCs w:val="19"/>
        </w:rPr>
        <w:t>5</w:t>
      </w:r>
      <w:r w:rsidR="001440DD" w:rsidRPr="009A7BA5">
        <w:rPr>
          <w:rFonts w:ascii="Arial Narrow" w:hAnsi="Arial Narrow" w:cs="Arial"/>
          <w:sz w:val="19"/>
          <w:szCs w:val="19"/>
        </w:rPr>
        <w:t>-</w:t>
      </w:r>
      <w:r w:rsidR="004C2506">
        <w:rPr>
          <w:rFonts w:ascii="Arial Narrow" w:hAnsi="Arial Narrow" w:cs="Arial"/>
          <w:sz w:val="19"/>
          <w:szCs w:val="19"/>
        </w:rPr>
        <w:t>giugno</w:t>
      </w:r>
      <w:r w:rsidR="0008280D">
        <w:rPr>
          <w:rFonts w:ascii="Arial Narrow" w:hAnsi="Arial Narrow" w:cs="Arial"/>
          <w:sz w:val="19"/>
          <w:szCs w:val="19"/>
        </w:rPr>
        <w:t xml:space="preserve"> </w:t>
      </w:r>
      <w:r w:rsidR="001440DD" w:rsidRPr="009A7BA5">
        <w:rPr>
          <w:rFonts w:ascii="Arial Narrow" w:hAnsi="Arial Narrow" w:cs="Arial"/>
          <w:sz w:val="19"/>
          <w:szCs w:val="19"/>
        </w:rPr>
        <w:t>201</w:t>
      </w:r>
      <w:r w:rsidR="0008280D">
        <w:rPr>
          <w:rFonts w:ascii="Arial Narrow" w:hAnsi="Arial Narrow" w:cs="Arial"/>
          <w:sz w:val="19"/>
          <w:szCs w:val="19"/>
        </w:rPr>
        <w:t>6</w:t>
      </w:r>
      <w:r w:rsidR="0060265A" w:rsidRPr="009A7BA5">
        <w:rPr>
          <w:rFonts w:ascii="Arial Narrow" w:hAnsi="Arial Narrow" w:cs="Arial"/>
          <w:sz w:val="19"/>
          <w:szCs w:val="19"/>
        </w:rPr>
        <w:t>, variazioni percentuali tendenziali</w:t>
      </w:r>
    </w:p>
    <w:p w:rsidR="000F4D00" w:rsidRPr="009A7BA5" w:rsidRDefault="007D4241" w:rsidP="00311EE9">
      <w:pPr>
        <w:tabs>
          <w:tab w:val="left" w:pos="5093"/>
        </w:tabs>
        <w:spacing w:before="0" w:after="60"/>
        <w:jc w:val="both"/>
        <w:rPr>
          <w:rFonts w:ascii="Arial Narrow" w:hAnsi="Arial Narrow" w:cs="Arial"/>
          <w:color w:val="000000"/>
          <w:sz w:val="16"/>
          <w:szCs w:val="16"/>
        </w:rPr>
      </w:pPr>
      <w:r>
        <w:rPr>
          <w:rFonts w:ascii="Arial Narrow" w:hAnsi="Arial Narrow" w:cs="Arial"/>
          <w:noProof/>
          <w:color w:val="000000"/>
          <w:sz w:val="16"/>
          <w:szCs w:val="16"/>
        </w:rPr>
        <w:fldChar w:fldCharType="begin"/>
      </w:r>
      <w:r>
        <w:rPr>
          <w:rFonts w:ascii="Arial Narrow" w:hAnsi="Arial Narrow" w:cs="Arial"/>
          <w:noProof/>
          <w:color w:val="000000"/>
          <w:sz w:val="16"/>
          <w:szCs w:val="16"/>
        </w:rPr>
        <w:instrText xml:space="preserve"> LINK Excel.Sheet.12 "\\\\nas-balbo\\TICINO55\\Consumo4\\Diffusione\\comunica\\anno 2016\\IPC_grafici_primapagina_comunicato.xlsx!dati![IPC_grafici_primapagina_comunicato.xlsx]dati Grafico 2" "" \a \p </w:instrText>
      </w:r>
      <w:r>
        <w:rPr>
          <w:rFonts w:ascii="Arial Narrow" w:hAnsi="Arial Narrow" w:cs="Arial"/>
          <w:noProof/>
          <w:color w:val="000000"/>
          <w:sz w:val="16"/>
          <w:szCs w:val="16"/>
        </w:rPr>
        <w:fldChar w:fldCharType="separate"/>
      </w:r>
      <w:r w:rsidR="005E1C51">
        <w:rPr>
          <w:rFonts w:ascii="Arial Narrow" w:hAnsi="Arial Narrow" w:cs="Arial"/>
          <w:noProof/>
          <w:color w:val="000000"/>
          <w:sz w:val="16"/>
          <w:szCs w:val="16"/>
        </w:rPr>
        <w:object w:dxaOrig="5883" w:dyaOrig="3296">
          <v:shape id="_x0000_i1026" type="#_x0000_t75" style="width:220.3pt;height:112.7pt" o:bordertopcolor="this" o:borderbottomcolor="this">
            <v:imagedata r:id="rId16" o:title=""/>
            <w10:bordertop type="single" width="4"/>
            <w10:borderbottom type="single" width="4"/>
          </v:shape>
        </w:object>
      </w:r>
      <w:r>
        <w:rPr>
          <w:rFonts w:ascii="Arial Narrow" w:hAnsi="Arial Narrow" w:cs="Arial"/>
          <w:noProof/>
          <w:color w:val="000000"/>
          <w:sz w:val="16"/>
          <w:szCs w:val="16"/>
        </w:rPr>
        <w:fldChar w:fldCharType="end"/>
      </w:r>
    </w:p>
    <w:p w:rsidR="0039079D" w:rsidRDefault="0039079D"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b/>
          <w:color w:val="5F5F5F"/>
        </w:rPr>
      </w:pPr>
    </w:p>
    <w:p w:rsidR="00212736" w:rsidRPr="0028792F" w:rsidRDefault="00212736"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b/>
          <w:color w:val="5F5F5F"/>
          <w:sz w:val="12"/>
          <w:szCs w:val="12"/>
        </w:rPr>
      </w:pPr>
    </w:p>
    <w:p w:rsidR="0058158C" w:rsidRPr="0028792F" w:rsidRDefault="0058158C"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b/>
          <w:color w:val="5F5F5F"/>
          <w:sz w:val="12"/>
          <w:szCs w:val="12"/>
        </w:rPr>
      </w:pPr>
    </w:p>
    <w:p w:rsidR="00212736" w:rsidRDefault="00212736"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b/>
          <w:color w:val="5F5F5F"/>
          <w:sz w:val="12"/>
          <w:szCs w:val="12"/>
        </w:rPr>
      </w:pPr>
    </w:p>
    <w:p w:rsidR="00142E6F" w:rsidRPr="00142E6F" w:rsidRDefault="00142E6F"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b/>
          <w:color w:val="5F5F5F"/>
          <w:sz w:val="12"/>
          <w:szCs w:val="12"/>
        </w:rPr>
      </w:pPr>
    </w:p>
    <w:p w:rsidR="000F4D00" w:rsidRPr="009A7BA5" w:rsidRDefault="000F4D00" w:rsidP="007A1ADA">
      <w:pPr>
        <w:tabs>
          <w:tab w:val="left" w:pos="-788"/>
          <w:tab w:val="left" w:pos="-567"/>
          <w:tab w:val="left" w:pos="142"/>
          <w:tab w:val="left" w:pos="565"/>
          <w:tab w:val="left" w:pos="1132"/>
          <w:tab w:val="left" w:pos="1698"/>
          <w:tab w:val="left" w:pos="2264"/>
          <w:tab w:val="left" w:pos="2830"/>
          <w:tab w:val="left" w:pos="3396"/>
          <w:tab w:val="left" w:pos="3962"/>
          <w:tab w:val="left" w:pos="4528"/>
          <w:tab w:val="left" w:pos="5093"/>
          <w:tab w:val="left" w:pos="5660"/>
          <w:tab w:val="left" w:pos="6226"/>
          <w:tab w:val="left" w:pos="6792"/>
          <w:tab w:val="left" w:pos="7358"/>
          <w:tab w:val="left" w:pos="7924"/>
          <w:tab w:val="left" w:pos="8490"/>
          <w:tab w:val="left" w:pos="9056"/>
          <w:tab w:val="left" w:pos="9622"/>
        </w:tabs>
        <w:spacing w:before="0" w:after="60"/>
        <w:rPr>
          <w:rFonts w:ascii="Arial Narrow" w:hAnsi="Arial Narrow" w:cs="Arial"/>
        </w:rPr>
      </w:pPr>
      <w:r w:rsidRPr="009A7BA5">
        <w:rPr>
          <w:rFonts w:ascii="Arial Narrow" w:hAnsi="Arial Narrow" w:cs="Arial"/>
          <w:b/>
          <w:color w:val="5F5F5F"/>
        </w:rPr>
        <w:t>INDICI DEI PREZZI AL CONSUMO</w:t>
      </w:r>
      <w:r w:rsidRPr="009A7BA5">
        <w:rPr>
          <w:rFonts w:ascii="Arial Narrow" w:hAnsi="Arial Narrow" w:cs="Arial"/>
          <w:b/>
        </w:rPr>
        <w:br/>
      </w:r>
      <w:r w:rsidR="004C2506">
        <w:rPr>
          <w:rFonts w:ascii="Arial Narrow" w:hAnsi="Arial Narrow" w:cs="Arial"/>
          <w:sz w:val="19"/>
          <w:szCs w:val="19"/>
        </w:rPr>
        <w:t>Giugno</w:t>
      </w:r>
      <w:r w:rsidR="0060265A" w:rsidRPr="009A7BA5">
        <w:rPr>
          <w:rFonts w:ascii="Arial Narrow" w:hAnsi="Arial Narrow" w:cs="Arial"/>
          <w:sz w:val="19"/>
          <w:szCs w:val="19"/>
        </w:rPr>
        <w:t xml:space="preserve"> 201</w:t>
      </w:r>
      <w:r w:rsidR="0008280D">
        <w:rPr>
          <w:rFonts w:ascii="Arial Narrow" w:hAnsi="Arial Narrow" w:cs="Arial"/>
          <w:sz w:val="19"/>
          <w:szCs w:val="19"/>
        </w:rPr>
        <w:t>6</w:t>
      </w:r>
      <w:r w:rsidR="00834EEB">
        <w:rPr>
          <w:rFonts w:ascii="Arial Narrow" w:hAnsi="Arial Narrow" w:cs="Arial"/>
          <w:sz w:val="19"/>
          <w:szCs w:val="19"/>
        </w:rPr>
        <w:t xml:space="preserve"> (a)</w:t>
      </w:r>
    </w:p>
    <w:tbl>
      <w:tblPr>
        <w:tblW w:w="4820"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985"/>
        <w:gridCol w:w="850"/>
        <w:gridCol w:w="993"/>
        <w:gridCol w:w="992"/>
      </w:tblGrid>
      <w:tr w:rsidR="000F4D00" w:rsidRPr="009A7BA5" w:rsidTr="003F6BDC">
        <w:trPr>
          <w:trHeight w:val="270"/>
        </w:trPr>
        <w:tc>
          <w:tcPr>
            <w:tcW w:w="1985" w:type="dxa"/>
            <w:vMerge w:val="restart"/>
            <w:vAlign w:val="center"/>
          </w:tcPr>
          <w:p w:rsidR="000F4D00" w:rsidRPr="009A7BA5" w:rsidRDefault="000F4D00" w:rsidP="00B82C93">
            <w:pPr>
              <w:tabs>
                <w:tab w:val="left" w:pos="5093"/>
              </w:tabs>
              <w:spacing w:before="40" w:after="20"/>
              <w:ind w:left="-57"/>
              <w:jc w:val="center"/>
              <w:rPr>
                <w:rFonts w:ascii="Arial Narrow" w:hAnsi="Arial Narrow" w:cs="Arial"/>
                <w:b/>
                <w:bCs/>
                <w:sz w:val="18"/>
                <w:szCs w:val="18"/>
              </w:rPr>
            </w:pPr>
            <w:r w:rsidRPr="009A7BA5">
              <w:rPr>
                <w:rFonts w:ascii="Arial Narrow" w:hAnsi="Arial Narrow" w:cs="Arial"/>
                <w:sz w:val="15"/>
                <w:szCs w:val="15"/>
              </w:rPr>
              <w:t xml:space="preserve"> </w:t>
            </w:r>
          </w:p>
        </w:tc>
        <w:tc>
          <w:tcPr>
            <w:tcW w:w="850" w:type="dxa"/>
            <w:shd w:val="clear" w:color="auto" w:fill="E6E6E6"/>
            <w:vAlign w:val="center"/>
          </w:tcPr>
          <w:p w:rsidR="000F4D00" w:rsidRPr="009A7BA5" w:rsidRDefault="000F4D00" w:rsidP="00B82C93">
            <w:pPr>
              <w:tabs>
                <w:tab w:val="left" w:pos="5093"/>
              </w:tabs>
              <w:spacing w:before="60" w:after="60"/>
              <w:jc w:val="center"/>
              <w:rPr>
                <w:rFonts w:ascii="Arial Narrow" w:hAnsi="Arial Narrow" w:cs="Arial"/>
                <w:b/>
                <w:bCs/>
                <w:sz w:val="18"/>
                <w:szCs w:val="18"/>
              </w:rPr>
            </w:pPr>
            <w:r w:rsidRPr="009A7BA5">
              <w:rPr>
                <w:rFonts w:ascii="Arial Narrow" w:hAnsi="Arial Narrow" w:cs="Arial"/>
                <w:b/>
                <w:bCs/>
                <w:snapToGrid w:val="0"/>
                <w:sz w:val="18"/>
                <w:szCs w:val="18"/>
              </w:rPr>
              <w:t xml:space="preserve">INDICI </w:t>
            </w:r>
          </w:p>
        </w:tc>
        <w:tc>
          <w:tcPr>
            <w:tcW w:w="1985" w:type="dxa"/>
            <w:gridSpan w:val="2"/>
            <w:vAlign w:val="center"/>
          </w:tcPr>
          <w:p w:rsidR="000F4D00" w:rsidRPr="009A7BA5" w:rsidRDefault="000F4D00" w:rsidP="00B82C93">
            <w:pPr>
              <w:tabs>
                <w:tab w:val="left" w:pos="5093"/>
              </w:tabs>
              <w:spacing w:before="60" w:after="60"/>
              <w:jc w:val="center"/>
              <w:rPr>
                <w:rFonts w:ascii="Arial Narrow" w:hAnsi="Arial Narrow" w:cs="Arial"/>
                <w:b/>
                <w:bCs/>
                <w:sz w:val="18"/>
                <w:szCs w:val="18"/>
              </w:rPr>
            </w:pPr>
            <w:r w:rsidRPr="009A7BA5">
              <w:rPr>
                <w:rFonts w:ascii="Arial Narrow" w:hAnsi="Arial Narrow" w:cs="Arial"/>
                <w:b/>
                <w:bCs/>
                <w:sz w:val="18"/>
                <w:szCs w:val="18"/>
              </w:rPr>
              <w:t>VARIAZIONI %</w:t>
            </w:r>
          </w:p>
        </w:tc>
      </w:tr>
      <w:tr w:rsidR="00F234FD" w:rsidRPr="001948E7" w:rsidTr="003F6BDC">
        <w:trPr>
          <w:trHeight w:val="255"/>
        </w:trPr>
        <w:tc>
          <w:tcPr>
            <w:tcW w:w="1985" w:type="dxa"/>
            <w:vMerge/>
            <w:vAlign w:val="center"/>
          </w:tcPr>
          <w:p w:rsidR="00F234FD" w:rsidRPr="009A7BA5" w:rsidRDefault="00F234FD" w:rsidP="00B82C93">
            <w:pPr>
              <w:tabs>
                <w:tab w:val="left" w:pos="5093"/>
              </w:tabs>
              <w:spacing w:before="40" w:after="20"/>
              <w:ind w:left="-57"/>
              <w:rPr>
                <w:rFonts w:ascii="Arial Narrow" w:hAnsi="Arial Narrow" w:cs="Arial"/>
                <w:b/>
                <w:bCs/>
                <w:sz w:val="18"/>
                <w:szCs w:val="18"/>
              </w:rPr>
            </w:pPr>
          </w:p>
        </w:tc>
        <w:tc>
          <w:tcPr>
            <w:tcW w:w="850" w:type="dxa"/>
            <w:tcBorders>
              <w:bottom w:val="nil"/>
            </w:tcBorders>
            <w:shd w:val="clear" w:color="auto" w:fill="E6E6E6"/>
            <w:vAlign w:val="bottom"/>
          </w:tcPr>
          <w:p w:rsidR="00F234FD" w:rsidRPr="009A7BA5" w:rsidRDefault="004C2506" w:rsidP="00372368">
            <w:pPr>
              <w:tabs>
                <w:tab w:val="left" w:pos="5093"/>
              </w:tabs>
              <w:spacing w:before="40" w:after="0"/>
              <w:jc w:val="center"/>
              <w:rPr>
                <w:rFonts w:ascii="Arial Narrow" w:hAnsi="Arial Narrow" w:cs="Arial"/>
                <w:b/>
                <w:bCs/>
                <w:sz w:val="18"/>
                <w:szCs w:val="18"/>
              </w:rPr>
            </w:pPr>
            <w:r>
              <w:rPr>
                <w:rFonts w:ascii="Arial Narrow" w:hAnsi="Arial Narrow" w:cs="Arial"/>
                <w:b/>
                <w:bCs/>
                <w:sz w:val="18"/>
                <w:szCs w:val="18"/>
              </w:rPr>
              <w:t>giugno</w:t>
            </w:r>
          </w:p>
        </w:tc>
        <w:tc>
          <w:tcPr>
            <w:tcW w:w="993" w:type="dxa"/>
            <w:tcBorders>
              <w:bottom w:val="nil"/>
            </w:tcBorders>
            <w:vAlign w:val="bottom"/>
          </w:tcPr>
          <w:p w:rsidR="00F234FD" w:rsidRPr="009A7BA5" w:rsidRDefault="004C2506" w:rsidP="0008280D">
            <w:pPr>
              <w:tabs>
                <w:tab w:val="left" w:pos="5093"/>
              </w:tabs>
              <w:spacing w:before="40" w:after="0"/>
              <w:jc w:val="center"/>
              <w:rPr>
                <w:rFonts w:ascii="Arial Narrow" w:hAnsi="Arial Narrow" w:cs="Arial"/>
                <w:b/>
                <w:bCs/>
                <w:sz w:val="18"/>
                <w:szCs w:val="18"/>
                <w:u w:val="single"/>
              </w:rPr>
            </w:pPr>
            <w:r>
              <w:rPr>
                <w:rFonts w:ascii="Arial Narrow" w:hAnsi="Arial Narrow" w:cs="Arial"/>
                <w:b/>
                <w:bCs/>
                <w:snapToGrid w:val="0"/>
                <w:sz w:val="18"/>
                <w:szCs w:val="18"/>
                <w:u w:val="single"/>
              </w:rPr>
              <w:t>giu</w:t>
            </w:r>
            <w:r w:rsidR="00F234FD" w:rsidRPr="009A7BA5">
              <w:rPr>
                <w:rFonts w:ascii="Arial Narrow" w:hAnsi="Arial Narrow" w:cs="Arial"/>
                <w:b/>
                <w:bCs/>
                <w:snapToGrid w:val="0"/>
                <w:sz w:val="18"/>
                <w:szCs w:val="18"/>
                <w:u w:val="single"/>
              </w:rPr>
              <w:t>-1</w:t>
            </w:r>
            <w:r w:rsidR="0008280D">
              <w:rPr>
                <w:rFonts w:ascii="Arial Narrow" w:hAnsi="Arial Narrow" w:cs="Arial"/>
                <w:b/>
                <w:bCs/>
                <w:snapToGrid w:val="0"/>
                <w:sz w:val="18"/>
                <w:szCs w:val="18"/>
                <w:u w:val="single"/>
              </w:rPr>
              <w:t>6</w:t>
            </w:r>
          </w:p>
        </w:tc>
        <w:tc>
          <w:tcPr>
            <w:tcW w:w="992" w:type="dxa"/>
            <w:tcBorders>
              <w:bottom w:val="nil"/>
            </w:tcBorders>
            <w:vAlign w:val="bottom"/>
          </w:tcPr>
          <w:p w:rsidR="00F234FD" w:rsidRPr="009A7BA5" w:rsidRDefault="004C2506" w:rsidP="00372368">
            <w:pPr>
              <w:tabs>
                <w:tab w:val="left" w:pos="5093"/>
              </w:tabs>
              <w:spacing w:before="40" w:after="0"/>
              <w:jc w:val="center"/>
              <w:rPr>
                <w:rFonts w:ascii="Arial Narrow" w:hAnsi="Arial Narrow" w:cs="Arial"/>
                <w:b/>
                <w:bCs/>
                <w:sz w:val="18"/>
                <w:szCs w:val="18"/>
                <w:u w:val="single"/>
              </w:rPr>
            </w:pPr>
            <w:r>
              <w:rPr>
                <w:rFonts w:ascii="Arial Narrow" w:hAnsi="Arial Narrow" w:cs="Arial"/>
                <w:b/>
                <w:bCs/>
                <w:snapToGrid w:val="0"/>
                <w:sz w:val="18"/>
                <w:szCs w:val="18"/>
                <w:u w:val="single"/>
              </w:rPr>
              <w:t>giu</w:t>
            </w:r>
            <w:r w:rsidR="00F234FD" w:rsidRPr="009A7BA5">
              <w:rPr>
                <w:rFonts w:ascii="Arial Narrow" w:hAnsi="Arial Narrow" w:cs="Arial"/>
                <w:b/>
                <w:bCs/>
                <w:snapToGrid w:val="0"/>
                <w:sz w:val="18"/>
                <w:szCs w:val="18"/>
                <w:u w:val="single"/>
              </w:rPr>
              <w:t>-1</w:t>
            </w:r>
            <w:r w:rsidR="0008280D">
              <w:rPr>
                <w:rFonts w:ascii="Arial Narrow" w:hAnsi="Arial Narrow" w:cs="Arial"/>
                <w:b/>
                <w:bCs/>
                <w:snapToGrid w:val="0"/>
                <w:sz w:val="18"/>
                <w:szCs w:val="18"/>
                <w:u w:val="single"/>
              </w:rPr>
              <w:t>6</w:t>
            </w:r>
          </w:p>
        </w:tc>
      </w:tr>
      <w:tr w:rsidR="00F234FD" w:rsidRPr="009A7BA5" w:rsidTr="003F6BDC">
        <w:trPr>
          <w:trHeight w:val="86"/>
        </w:trPr>
        <w:tc>
          <w:tcPr>
            <w:tcW w:w="1985" w:type="dxa"/>
            <w:vMerge/>
            <w:vAlign w:val="center"/>
          </w:tcPr>
          <w:p w:rsidR="00F234FD" w:rsidRPr="009A7BA5" w:rsidRDefault="00F234FD" w:rsidP="00B82C93">
            <w:pPr>
              <w:tabs>
                <w:tab w:val="left" w:pos="5093"/>
              </w:tabs>
              <w:spacing w:before="40" w:after="20"/>
              <w:ind w:left="-57"/>
              <w:rPr>
                <w:rFonts w:ascii="Arial Narrow" w:hAnsi="Arial Narrow" w:cs="Arial"/>
                <w:b/>
                <w:bCs/>
                <w:sz w:val="18"/>
                <w:szCs w:val="18"/>
              </w:rPr>
            </w:pPr>
          </w:p>
        </w:tc>
        <w:tc>
          <w:tcPr>
            <w:tcW w:w="850" w:type="dxa"/>
            <w:tcBorders>
              <w:top w:val="nil"/>
            </w:tcBorders>
            <w:shd w:val="clear" w:color="auto" w:fill="E6E6E6"/>
          </w:tcPr>
          <w:p w:rsidR="00F234FD" w:rsidRPr="009A7BA5" w:rsidRDefault="00F234FD" w:rsidP="00F234FD">
            <w:pPr>
              <w:tabs>
                <w:tab w:val="left" w:pos="5093"/>
              </w:tabs>
              <w:spacing w:before="0" w:after="20"/>
              <w:jc w:val="center"/>
              <w:rPr>
                <w:rFonts w:ascii="Arial Narrow" w:hAnsi="Arial Narrow" w:cs="Arial"/>
                <w:b/>
                <w:bCs/>
                <w:sz w:val="18"/>
                <w:szCs w:val="18"/>
              </w:rPr>
            </w:pPr>
            <w:r w:rsidRPr="009A7BA5">
              <w:rPr>
                <w:rFonts w:ascii="Arial Narrow" w:hAnsi="Arial Narrow" w:cs="Arial"/>
                <w:b/>
                <w:bCs/>
                <w:snapToGrid w:val="0"/>
                <w:sz w:val="18"/>
                <w:szCs w:val="18"/>
              </w:rPr>
              <w:t>201</w:t>
            </w:r>
            <w:r w:rsidR="0008280D">
              <w:rPr>
                <w:rFonts w:ascii="Arial Narrow" w:hAnsi="Arial Narrow" w:cs="Arial"/>
                <w:b/>
                <w:bCs/>
                <w:snapToGrid w:val="0"/>
                <w:sz w:val="18"/>
                <w:szCs w:val="18"/>
              </w:rPr>
              <w:t>6</w:t>
            </w:r>
          </w:p>
        </w:tc>
        <w:tc>
          <w:tcPr>
            <w:tcW w:w="993" w:type="dxa"/>
            <w:tcBorders>
              <w:top w:val="nil"/>
            </w:tcBorders>
          </w:tcPr>
          <w:p w:rsidR="00F234FD" w:rsidRPr="009A7BA5" w:rsidRDefault="004C2506" w:rsidP="00372368">
            <w:pPr>
              <w:tabs>
                <w:tab w:val="left" w:pos="5093"/>
              </w:tabs>
              <w:spacing w:before="0" w:after="20"/>
              <w:jc w:val="center"/>
              <w:rPr>
                <w:rFonts w:ascii="Arial Narrow" w:hAnsi="Arial Narrow" w:cs="Arial"/>
                <w:b/>
                <w:bCs/>
                <w:sz w:val="18"/>
                <w:szCs w:val="18"/>
              </w:rPr>
            </w:pPr>
            <w:r>
              <w:rPr>
                <w:rFonts w:ascii="Arial Narrow" w:hAnsi="Arial Narrow" w:cs="Arial"/>
                <w:b/>
                <w:bCs/>
                <w:snapToGrid w:val="0"/>
                <w:sz w:val="18"/>
                <w:szCs w:val="18"/>
              </w:rPr>
              <w:t>mag</w:t>
            </w:r>
            <w:r w:rsidR="00F234FD" w:rsidRPr="009A7BA5">
              <w:rPr>
                <w:rFonts w:ascii="Arial Narrow" w:hAnsi="Arial Narrow" w:cs="Arial"/>
                <w:b/>
                <w:bCs/>
                <w:snapToGrid w:val="0"/>
                <w:sz w:val="18"/>
                <w:szCs w:val="18"/>
              </w:rPr>
              <w:t>-1</w:t>
            </w:r>
            <w:r w:rsidR="0068371B">
              <w:rPr>
                <w:rFonts w:ascii="Arial Narrow" w:hAnsi="Arial Narrow" w:cs="Arial"/>
                <w:b/>
                <w:bCs/>
                <w:snapToGrid w:val="0"/>
                <w:sz w:val="18"/>
                <w:szCs w:val="18"/>
              </w:rPr>
              <w:t>6</w:t>
            </w:r>
          </w:p>
        </w:tc>
        <w:tc>
          <w:tcPr>
            <w:tcW w:w="992" w:type="dxa"/>
            <w:tcBorders>
              <w:top w:val="nil"/>
            </w:tcBorders>
          </w:tcPr>
          <w:p w:rsidR="00F234FD" w:rsidRPr="009A7BA5" w:rsidRDefault="004C2506" w:rsidP="00372368">
            <w:pPr>
              <w:tabs>
                <w:tab w:val="left" w:pos="5093"/>
              </w:tabs>
              <w:spacing w:before="0" w:after="20"/>
              <w:jc w:val="center"/>
              <w:rPr>
                <w:rFonts w:ascii="Arial Narrow" w:hAnsi="Arial Narrow" w:cs="Arial"/>
                <w:b/>
                <w:bCs/>
                <w:sz w:val="18"/>
                <w:szCs w:val="18"/>
              </w:rPr>
            </w:pPr>
            <w:r>
              <w:rPr>
                <w:rFonts w:ascii="Arial Narrow" w:hAnsi="Arial Narrow" w:cs="Arial"/>
                <w:b/>
                <w:bCs/>
                <w:snapToGrid w:val="0"/>
                <w:sz w:val="18"/>
                <w:szCs w:val="18"/>
              </w:rPr>
              <w:t>giu</w:t>
            </w:r>
            <w:r w:rsidR="00F234FD" w:rsidRPr="009A7BA5">
              <w:rPr>
                <w:rFonts w:ascii="Arial Narrow" w:hAnsi="Arial Narrow" w:cs="Arial"/>
                <w:b/>
                <w:bCs/>
                <w:snapToGrid w:val="0"/>
                <w:sz w:val="18"/>
                <w:szCs w:val="18"/>
              </w:rPr>
              <w:t>-1</w:t>
            </w:r>
            <w:r w:rsidR="0008280D">
              <w:rPr>
                <w:rFonts w:ascii="Arial Narrow" w:hAnsi="Arial Narrow" w:cs="Arial"/>
                <w:b/>
                <w:bCs/>
                <w:snapToGrid w:val="0"/>
                <w:sz w:val="18"/>
                <w:szCs w:val="18"/>
              </w:rPr>
              <w:t>5</w:t>
            </w:r>
          </w:p>
        </w:tc>
      </w:tr>
      <w:tr w:rsidR="00916830" w:rsidRPr="00F442A7" w:rsidTr="003F6BDC">
        <w:trPr>
          <w:trHeight w:val="255"/>
        </w:trPr>
        <w:tc>
          <w:tcPr>
            <w:tcW w:w="1985" w:type="dxa"/>
            <w:vAlign w:val="center"/>
          </w:tcPr>
          <w:p w:rsidR="00916830" w:rsidRPr="009A7BA5" w:rsidRDefault="00916830" w:rsidP="00F858F1">
            <w:pPr>
              <w:tabs>
                <w:tab w:val="left" w:pos="5093"/>
              </w:tabs>
              <w:spacing w:before="40" w:after="20"/>
              <w:ind w:left="-57"/>
              <w:rPr>
                <w:rFonts w:ascii="Arial Narrow" w:hAnsi="Arial Narrow" w:cs="Arial"/>
                <w:bCs/>
                <w:sz w:val="18"/>
                <w:szCs w:val="18"/>
              </w:rPr>
            </w:pPr>
            <w:r w:rsidRPr="009A7BA5">
              <w:rPr>
                <w:rFonts w:ascii="Arial Narrow" w:hAnsi="Arial Narrow" w:cs="Arial"/>
                <w:bCs/>
                <w:snapToGrid w:val="0"/>
                <w:sz w:val="18"/>
                <w:szCs w:val="18"/>
              </w:rPr>
              <w:t xml:space="preserve">Indice nazionale </w:t>
            </w:r>
            <w:r w:rsidRPr="009A7BA5">
              <w:rPr>
                <w:rFonts w:ascii="Arial Narrow" w:hAnsi="Arial Narrow" w:cs="Arial"/>
                <w:bCs/>
                <w:snapToGrid w:val="0"/>
                <w:sz w:val="18"/>
                <w:szCs w:val="18"/>
              </w:rPr>
              <w:br/>
              <w:t>per l’intera collettività NIC</w:t>
            </w:r>
          </w:p>
        </w:tc>
        <w:tc>
          <w:tcPr>
            <w:tcW w:w="850" w:type="dxa"/>
            <w:shd w:val="clear" w:color="auto" w:fill="E6E6E6"/>
            <w:vAlign w:val="center"/>
          </w:tcPr>
          <w:p w:rsidR="00916830" w:rsidRPr="00875F2D" w:rsidRDefault="00270D5A" w:rsidP="004C0D68">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99</w:t>
            </w:r>
            <w:r w:rsidR="00916830" w:rsidRPr="00875F2D">
              <w:rPr>
                <w:rFonts w:ascii="Arial Narrow" w:hAnsi="Arial Narrow" w:cs="Arial"/>
                <w:sz w:val="18"/>
                <w:szCs w:val="18"/>
              </w:rPr>
              <w:t>,</w:t>
            </w:r>
            <w:r w:rsidR="004C0D68" w:rsidRPr="00875F2D">
              <w:rPr>
                <w:rFonts w:ascii="Arial Narrow" w:hAnsi="Arial Narrow" w:cs="Arial"/>
                <w:sz w:val="18"/>
                <w:szCs w:val="18"/>
              </w:rPr>
              <w:t>9</w:t>
            </w:r>
          </w:p>
        </w:tc>
        <w:tc>
          <w:tcPr>
            <w:tcW w:w="993" w:type="dxa"/>
            <w:vAlign w:val="center"/>
          </w:tcPr>
          <w:p w:rsidR="00916830" w:rsidRPr="00875F2D" w:rsidRDefault="00A916F3" w:rsidP="00DA5CEA">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0</w:t>
            </w:r>
            <w:r w:rsidR="00EC5B6E" w:rsidRPr="00875F2D">
              <w:rPr>
                <w:rFonts w:ascii="Arial Narrow" w:hAnsi="Arial Narrow" w:cs="Arial"/>
                <w:sz w:val="18"/>
                <w:szCs w:val="18"/>
              </w:rPr>
              <w:t>,</w:t>
            </w:r>
            <w:r w:rsidR="004C0D68" w:rsidRPr="00875F2D">
              <w:rPr>
                <w:rFonts w:ascii="Arial Narrow" w:hAnsi="Arial Narrow" w:cs="Arial"/>
                <w:sz w:val="18"/>
                <w:szCs w:val="18"/>
              </w:rPr>
              <w:t>1</w:t>
            </w:r>
          </w:p>
        </w:tc>
        <w:tc>
          <w:tcPr>
            <w:tcW w:w="992" w:type="dxa"/>
            <w:vAlign w:val="center"/>
          </w:tcPr>
          <w:p w:rsidR="00916830" w:rsidRPr="00875F2D" w:rsidRDefault="00F803A4" w:rsidP="00DA5CEA">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w:t>
            </w:r>
            <w:r w:rsidR="00916830" w:rsidRPr="00875F2D">
              <w:rPr>
                <w:rFonts w:ascii="Arial Narrow" w:hAnsi="Arial Narrow" w:cs="Arial"/>
                <w:sz w:val="18"/>
                <w:szCs w:val="18"/>
              </w:rPr>
              <w:t>0,</w:t>
            </w:r>
            <w:r w:rsidR="004C0D68" w:rsidRPr="00875F2D">
              <w:rPr>
                <w:rFonts w:ascii="Arial Narrow" w:hAnsi="Arial Narrow" w:cs="Arial"/>
                <w:sz w:val="18"/>
                <w:szCs w:val="18"/>
              </w:rPr>
              <w:t>4</w:t>
            </w:r>
          </w:p>
        </w:tc>
      </w:tr>
      <w:tr w:rsidR="007B1F4B" w:rsidRPr="009A7BA5" w:rsidTr="00E0778E">
        <w:trPr>
          <w:trHeight w:val="340"/>
        </w:trPr>
        <w:tc>
          <w:tcPr>
            <w:tcW w:w="1985" w:type="dxa"/>
            <w:vAlign w:val="center"/>
          </w:tcPr>
          <w:p w:rsidR="007B1F4B" w:rsidRPr="009A7BA5" w:rsidRDefault="007B1F4B" w:rsidP="00F858F1">
            <w:pPr>
              <w:tabs>
                <w:tab w:val="left" w:pos="5093"/>
              </w:tabs>
              <w:spacing w:before="60" w:after="60"/>
              <w:ind w:left="-57"/>
              <w:rPr>
                <w:rFonts w:ascii="Arial Narrow" w:hAnsi="Arial Narrow" w:cs="Arial"/>
                <w:bCs/>
                <w:sz w:val="18"/>
                <w:szCs w:val="18"/>
              </w:rPr>
            </w:pPr>
            <w:r w:rsidRPr="009A7BA5">
              <w:rPr>
                <w:rFonts w:ascii="Arial Narrow" w:hAnsi="Arial Narrow" w:cs="Arial"/>
                <w:bCs/>
                <w:snapToGrid w:val="0"/>
                <w:sz w:val="18"/>
                <w:szCs w:val="18"/>
              </w:rPr>
              <w:t>Indice armonizzato IPCA</w:t>
            </w:r>
          </w:p>
        </w:tc>
        <w:tc>
          <w:tcPr>
            <w:tcW w:w="850" w:type="dxa"/>
            <w:shd w:val="clear" w:color="auto" w:fill="E6E6E6"/>
            <w:vAlign w:val="center"/>
          </w:tcPr>
          <w:p w:rsidR="007B1F4B" w:rsidRPr="00875F2D" w:rsidRDefault="00F803A4" w:rsidP="00270D5A">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100</w:t>
            </w:r>
            <w:r w:rsidR="00EC5B6E" w:rsidRPr="00875F2D">
              <w:rPr>
                <w:rFonts w:ascii="Arial Narrow" w:hAnsi="Arial Narrow" w:cs="Arial"/>
                <w:sz w:val="18"/>
                <w:szCs w:val="18"/>
              </w:rPr>
              <w:t>,</w:t>
            </w:r>
            <w:r w:rsidR="00F27E48" w:rsidRPr="00875F2D">
              <w:rPr>
                <w:rFonts w:ascii="Arial Narrow" w:hAnsi="Arial Narrow" w:cs="Arial"/>
                <w:sz w:val="18"/>
                <w:szCs w:val="18"/>
              </w:rPr>
              <w:t>7</w:t>
            </w:r>
          </w:p>
        </w:tc>
        <w:tc>
          <w:tcPr>
            <w:tcW w:w="993" w:type="dxa"/>
            <w:vAlign w:val="center"/>
          </w:tcPr>
          <w:p w:rsidR="007B1F4B" w:rsidRPr="00875F2D" w:rsidRDefault="00BD210C" w:rsidP="00BD210C">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0</w:t>
            </w:r>
            <w:r w:rsidR="00877F52" w:rsidRPr="00875F2D">
              <w:rPr>
                <w:rFonts w:ascii="Arial Narrow" w:hAnsi="Arial Narrow" w:cs="Arial"/>
                <w:sz w:val="18"/>
                <w:szCs w:val="18"/>
              </w:rPr>
              <w:t>,</w:t>
            </w:r>
            <w:r w:rsidR="00F27E48" w:rsidRPr="00875F2D">
              <w:rPr>
                <w:rFonts w:ascii="Arial Narrow" w:hAnsi="Arial Narrow" w:cs="Arial"/>
                <w:sz w:val="18"/>
                <w:szCs w:val="18"/>
              </w:rPr>
              <w:t>1</w:t>
            </w:r>
          </w:p>
        </w:tc>
        <w:tc>
          <w:tcPr>
            <w:tcW w:w="992" w:type="dxa"/>
            <w:vAlign w:val="center"/>
          </w:tcPr>
          <w:p w:rsidR="007B1F4B" w:rsidRPr="00875F2D" w:rsidRDefault="00270D5A" w:rsidP="00F803A4">
            <w:pPr>
              <w:tabs>
                <w:tab w:val="left" w:pos="5093"/>
              </w:tabs>
              <w:spacing w:before="60" w:after="60"/>
              <w:jc w:val="center"/>
              <w:rPr>
                <w:rFonts w:ascii="Arial Narrow" w:hAnsi="Arial Narrow" w:cs="Arial"/>
                <w:sz w:val="18"/>
                <w:szCs w:val="18"/>
              </w:rPr>
            </w:pPr>
            <w:r w:rsidRPr="00875F2D">
              <w:rPr>
                <w:rFonts w:ascii="Arial Narrow" w:hAnsi="Arial Narrow" w:cs="Arial"/>
                <w:sz w:val="18"/>
                <w:szCs w:val="18"/>
              </w:rPr>
              <w:t>-</w:t>
            </w:r>
            <w:r w:rsidR="007B1F4B" w:rsidRPr="00875F2D">
              <w:rPr>
                <w:rFonts w:ascii="Arial Narrow" w:hAnsi="Arial Narrow" w:cs="Arial"/>
                <w:sz w:val="18"/>
                <w:szCs w:val="18"/>
              </w:rPr>
              <w:t>0,</w:t>
            </w:r>
            <w:r w:rsidR="00F803A4" w:rsidRPr="00875F2D">
              <w:rPr>
                <w:rFonts w:ascii="Arial Narrow" w:hAnsi="Arial Narrow" w:cs="Arial"/>
                <w:sz w:val="18"/>
                <w:szCs w:val="18"/>
              </w:rPr>
              <w:t>3</w:t>
            </w:r>
          </w:p>
        </w:tc>
      </w:tr>
    </w:tbl>
    <w:p w:rsidR="000F4D00" w:rsidRPr="009A7BA5" w:rsidRDefault="002D6287" w:rsidP="003D25ED">
      <w:pPr>
        <w:tabs>
          <w:tab w:val="left" w:pos="284"/>
          <w:tab w:val="left" w:pos="5245"/>
        </w:tabs>
        <w:spacing w:before="0" w:after="0"/>
        <w:jc w:val="both"/>
        <w:rPr>
          <w:rFonts w:ascii="Arial Narrow" w:hAnsi="Arial Narrow" w:cs="Arial"/>
          <w:sz w:val="16"/>
          <w:szCs w:val="16"/>
        </w:rPr>
      </w:pPr>
      <w:r w:rsidRPr="009A7BA5">
        <w:rPr>
          <w:rFonts w:ascii="Arial Narrow" w:hAnsi="Arial Narrow" w:cs="Arial"/>
          <w:sz w:val="15"/>
          <w:szCs w:val="15"/>
        </w:rPr>
        <w:t xml:space="preserve">(a) </w:t>
      </w:r>
      <w:r w:rsidRPr="009304C8">
        <w:rPr>
          <w:rFonts w:ascii="Arial Narrow" w:hAnsi="Arial Narrow" w:cs="Arial"/>
          <w:sz w:val="15"/>
          <w:szCs w:val="15"/>
        </w:rPr>
        <w:t>le variazioni tendenziali per gli indici NIC e FOI, con l’aggiornamento della base di riferimento all’anno 201</w:t>
      </w:r>
      <w:r>
        <w:rPr>
          <w:rFonts w:ascii="Arial Narrow" w:hAnsi="Arial Narrow" w:cs="Arial"/>
          <w:sz w:val="15"/>
          <w:szCs w:val="15"/>
        </w:rPr>
        <w:t>5</w:t>
      </w:r>
      <w:r w:rsidRPr="009304C8">
        <w:rPr>
          <w:rFonts w:ascii="Arial Narrow" w:hAnsi="Arial Narrow" w:cs="Arial"/>
          <w:sz w:val="15"/>
          <w:szCs w:val="15"/>
        </w:rPr>
        <w:t xml:space="preserve"> (base precedente </w:t>
      </w:r>
      <w:r>
        <w:rPr>
          <w:rFonts w:ascii="Arial Narrow" w:hAnsi="Arial Narrow" w:cs="Arial"/>
          <w:sz w:val="15"/>
          <w:szCs w:val="15"/>
        </w:rPr>
        <w:t>2010</w:t>
      </w:r>
      <w:r w:rsidRPr="009304C8">
        <w:rPr>
          <w:rFonts w:ascii="Arial Narrow" w:hAnsi="Arial Narrow" w:cs="Arial"/>
          <w:sz w:val="15"/>
          <w:szCs w:val="15"/>
        </w:rPr>
        <w:t>=100), sono calcolate utilizzando il coefficiente di raccordo</w:t>
      </w:r>
      <w:r>
        <w:rPr>
          <w:rFonts w:ascii="Arial Narrow" w:hAnsi="Arial Narrow" w:cs="Arial"/>
          <w:sz w:val="15"/>
          <w:szCs w:val="15"/>
        </w:rPr>
        <w:t xml:space="preserve"> (si veda la Nota metodologica </w:t>
      </w:r>
      <w:bookmarkStart w:id="0" w:name="OLE_LINK1"/>
      <w:bookmarkStart w:id="1" w:name="OLE_LINK3"/>
      <w:r>
        <w:rPr>
          <w:rFonts w:ascii="Arial Narrow" w:hAnsi="Arial Narrow" w:cs="Arial"/>
          <w:sz w:val="15"/>
          <w:szCs w:val="15"/>
        </w:rPr>
        <w:t>alla fine del comunicato</w:t>
      </w:r>
      <w:bookmarkEnd w:id="0"/>
      <w:bookmarkEnd w:id="1"/>
      <w:r>
        <w:rPr>
          <w:rFonts w:ascii="Arial Narrow" w:hAnsi="Arial Narrow" w:cs="Arial"/>
          <w:sz w:val="15"/>
          <w:szCs w:val="15"/>
        </w:rPr>
        <w:t xml:space="preserve">) mentre quelle dell’indice IPCA </w:t>
      </w:r>
      <w:r w:rsidRPr="00D72F92">
        <w:rPr>
          <w:rFonts w:ascii="Arial Narrow" w:hAnsi="Arial Narrow" w:cs="Arial"/>
          <w:sz w:val="15"/>
          <w:szCs w:val="15"/>
        </w:rPr>
        <w:t>(base precedente 20</w:t>
      </w:r>
      <w:r>
        <w:rPr>
          <w:rFonts w:ascii="Arial Narrow" w:hAnsi="Arial Narrow" w:cs="Arial"/>
          <w:sz w:val="15"/>
          <w:szCs w:val="15"/>
        </w:rPr>
        <w:t>05=100) sono state calcolate utilizzando indici slit</w:t>
      </w:r>
      <w:r w:rsidR="001723D7">
        <w:rPr>
          <w:rFonts w:ascii="Arial Narrow" w:hAnsi="Arial Narrow" w:cs="Arial"/>
          <w:sz w:val="15"/>
          <w:szCs w:val="15"/>
        </w:rPr>
        <w:t>t</w:t>
      </w:r>
      <w:r>
        <w:rPr>
          <w:rFonts w:ascii="Arial Narrow" w:hAnsi="Arial Narrow" w:cs="Arial"/>
          <w:sz w:val="15"/>
          <w:szCs w:val="15"/>
        </w:rPr>
        <w:t>ati nella nuova base di riferimento</w:t>
      </w:r>
      <w:r w:rsidR="007522B6">
        <w:rPr>
          <w:rFonts w:ascii="Arial Narrow" w:hAnsi="Arial Narrow" w:cs="Arial"/>
          <w:noProof/>
          <w:sz w:val="16"/>
          <w:szCs w:val="16"/>
        </w:rPr>
        <w:t>.</w:t>
      </w:r>
      <w:r w:rsidR="002103C7">
        <w:rPr>
          <w:rFonts w:ascii="Arial Narrow" w:hAnsi="Arial Narrow" w:cs="Arial"/>
          <w:noProof/>
          <w:sz w:val="16"/>
          <w:szCs w:val="16"/>
        </w:rPr>
        <mc:AlternateContent>
          <mc:Choice Requires="wps">
            <w:drawing>
              <wp:anchor distT="0" distB="0" distL="114300" distR="114300" simplePos="0" relativeHeight="251680256" behindDoc="0" locked="0" layoutInCell="1" allowOverlap="1" wp14:anchorId="385BE3AE" wp14:editId="383A670C">
                <wp:simplePos x="0" y="0"/>
                <wp:positionH relativeFrom="column">
                  <wp:posOffset>4033520</wp:posOffset>
                </wp:positionH>
                <wp:positionV relativeFrom="paragraph">
                  <wp:posOffset>8714105</wp:posOffset>
                </wp:positionV>
                <wp:extent cx="3113405" cy="862330"/>
                <wp:effectExtent l="0" t="0" r="0" b="0"/>
                <wp:wrapNone/>
                <wp:docPr id="4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17"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0" o:spid="_x0000_s1029" type="#_x0000_t202" style="position:absolute;left:0;text-align:left;margin-left:317.6pt;margin-top:686.15pt;width:245.15pt;height:6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18"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9232" behindDoc="0" locked="0" layoutInCell="1" allowOverlap="1" wp14:anchorId="33901339" wp14:editId="393E3FB5">
                <wp:simplePos x="0" y="0"/>
                <wp:positionH relativeFrom="column">
                  <wp:posOffset>4033520</wp:posOffset>
                </wp:positionH>
                <wp:positionV relativeFrom="paragraph">
                  <wp:posOffset>8714105</wp:posOffset>
                </wp:positionV>
                <wp:extent cx="3113405" cy="862330"/>
                <wp:effectExtent l="0" t="0" r="0" b="0"/>
                <wp:wrapNone/>
                <wp:docPr id="30"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19"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 o:spid="_x0000_s1030" type="#_x0000_t202" style="position:absolute;left:0;text-align:left;margin-left:317.6pt;margin-top:686.15pt;width:245.15pt;height:67.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0"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8208" behindDoc="0" locked="0" layoutInCell="1" allowOverlap="1" wp14:anchorId="241EDFF7" wp14:editId="4F82DF12">
                <wp:simplePos x="0" y="0"/>
                <wp:positionH relativeFrom="column">
                  <wp:posOffset>4033520</wp:posOffset>
                </wp:positionH>
                <wp:positionV relativeFrom="paragraph">
                  <wp:posOffset>8714105</wp:posOffset>
                </wp:positionV>
                <wp:extent cx="3113405" cy="862330"/>
                <wp:effectExtent l="0" t="0" r="0" b="0"/>
                <wp:wrapNone/>
                <wp:docPr id="29"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1"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8" o:spid="_x0000_s1031" type="#_x0000_t202" style="position:absolute;left:0;text-align:left;margin-left:317.6pt;margin-top:686.15pt;width:245.15pt;height:6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LMkiPXwC&#10;AAAJ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2"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7184" behindDoc="0" locked="0" layoutInCell="1" allowOverlap="1" wp14:anchorId="6AB4954C" wp14:editId="2CD063B2">
                <wp:simplePos x="0" y="0"/>
                <wp:positionH relativeFrom="column">
                  <wp:posOffset>4033520</wp:posOffset>
                </wp:positionH>
                <wp:positionV relativeFrom="paragraph">
                  <wp:posOffset>8714105</wp:posOffset>
                </wp:positionV>
                <wp:extent cx="3113405" cy="862330"/>
                <wp:effectExtent l="0" t="0" r="0" b="0"/>
                <wp:wrapNone/>
                <wp:docPr id="20"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3"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 o:spid="_x0000_s1032" type="#_x0000_t202" style="position:absolute;left:0;text-align:left;margin-left:317.6pt;margin-top:686.15pt;width:245.15pt;height:67.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4"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6160" behindDoc="0" locked="0" layoutInCell="1" allowOverlap="1" wp14:anchorId="518D6A65" wp14:editId="39379084">
                <wp:simplePos x="0" y="0"/>
                <wp:positionH relativeFrom="column">
                  <wp:posOffset>4033520</wp:posOffset>
                </wp:positionH>
                <wp:positionV relativeFrom="paragraph">
                  <wp:posOffset>8714105</wp:posOffset>
                </wp:positionV>
                <wp:extent cx="3113405" cy="862330"/>
                <wp:effectExtent l="0" t="0" r="0" b="0"/>
                <wp:wrapNone/>
                <wp:docPr id="12"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5"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6" o:spid="_x0000_s1033" type="#_x0000_t202" style="position:absolute;left:0;text-align:left;margin-left:317.6pt;margin-top:686.15pt;width:245.15pt;height:6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U7vVUH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6"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5136" behindDoc="0" locked="0" layoutInCell="1" allowOverlap="1" wp14:anchorId="23AFDA0B" wp14:editId="2C4C936A">
                <wp:simplePos x="0" y="0"/>
                <wp:positionH relativeFrom="column">
                  <wp:posOffset>4033520</wp:posOffset>
                </wp:positionH>
                <wp:positionV relativeFrom="paragraph">
                  <wp:posOffset>8714105</wp:posOffset>
                </wp:positionV>
                <wp:extent cx="3113405" cy="86233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7"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 o:spid="_x0000_s1034" type="#_x0000_t202" style="position:absolute;left:0;text-align:left;margin-left:317.6pt;margin-top:686.15pt;width:245.15pt;height:6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8"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4112" behindDoc="0" locked="0" layoutInCell="1" allowOverlap="1" wp14:anchorId="10C024EC" wp14:editId="36553C4A">
                <wp:simplePos x="0" y="0"/>
                <wp:positionH relativeFrom="column">
                  <wp:posOffset>4033520</wp:posOffset>
                </wp:positionH>
                <wp:positionV relativeFrom="paragraph">
                  <wp:posOffset>8714105</wp:posOffset>
                </wp:positionV>
                <wp:extent cx="3113405" cy="862330"/>
                <wp:effectExtent l="0" t="0" r="0"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29"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 o:spid="_x0000_s1035" type="#_x0000_t202" style="position:absolute;left:0;text-align:left;margin-left:317.6pt;margin-top:686.15pt;width:245.15pt;height:67.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0"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3088" behindDoc="0" locked="0" layoutInCell="1" allowOverlap="1" wp14:anchorId="7EF6B274" wp14:editId="59290898">
                <wp:simplePos x="0" y="0"/>
                <wp:positionH relativeFrom="column">
                  <wp:posOffset>4033520</wp:posOffset>
                </wp:positionH>
                <wp:positionV relativeFrom="paragraph">
                  <wp:posOffset>8714105</wp:posOffset>
                </wp:positionV>
                <wp:extent cx="3113405" cy="862330"/>
                <wp:effectExtent l="0" t="0"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1"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 o:spid="_x0000_s1036" type="#_x0000_t202" style="position:absolute;left:0;text-align:left;margin-left:317.6pt;margin-top:686.15pt;width:245.15pt;height:67.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2"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2064" behindDoc="0" locked="0" layoutInCell="1" allowOverlap="1" wp14:anchorId="163BA42F" wp14:editId="0916674F">
                <wp:simplePos x="0" y="0"/>
                <wp:positionH relativeFrom="column">
                  <wp:posOffset>4033520</wp:posOffset>
                </wp:positionH>
                <wp:positionV relativeFrom="paragraph">
                  <wp:posOffset>8714105</wp:posOffset>
                </wp:positionV>
                <wp:extent cx="3113405" cy="86233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3"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 o:spid="_x0000_s1037" type="#_x0000_t202" style="position:absolute;left:0;text-align:left;margin-left:317.6pt;margin-top:686.15pt;width:245.15pt;height:67.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4"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1040" behindDoc="0" locked="0" layoutInCell="1" allowOverlap="1" wp14:anchorId="3B85F912" wp14:editId="1DB10A4C">
                <wp:simplePos x="0" y="0"/>
                <wp:positionH relativeFrom="column">
                  <wp:posOffset>4033520</wp:posOffset>
                </wp:positionH>
                <wp:positionV relativeFrom="paragraph">
                  <wp:posOffset>8714105</wp:posOffset>
                </wp:positionV>
                <wp:extent cx="3113405" cy="862330"/>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5"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38" type="#_x0000_t202" style="position:absolute;left:0;text-align:left;margin-left:317.6pt;margin-top:686.15pt;width:245.15pt;height:6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tgRG5X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6"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70016" behindDoc="0" locked="0" layoutInCell="1" allowOverlap="1" wp14:anchorId="2BE4C886" wp14:editId="02ED7807">
                <wp:simplePos x="0" y="0"/>
                <wp:positionH relativeFrom="column">
                  <wp:posOffset>4033520</wp:posOffset>
                </wp:positionH>
                <wp:positionV relativeFrom="paragraph">
                  <wp:posOffset>8714105</wp:posOffset>
                </wp:positionV>
                <wp:extent cx="3113405" cy="86233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7"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8" o:spid="_x0000_s1039" type="#_x0000_t202" style="position:absolute;left:0;text-align:left;margin-left:317.6pt;margin-top:686.15pt;width:245.15pt;height:67.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oCx9UH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8"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8992" behindDoc="0" locked="0" layoutInCell="1" allowOverlap="1" wp14:anchorId="6B22529F" wp14:editId="1EC892CE">
                <wp:simplePos x="0" y="0"/>
                <wp:positionH relativeFrom="column">
                  <wp:posOffset>4033520</wp:posOffset>
                </wp:positionH>
                <wp:positionV relativeFrom="paragraph">
                  <wp:posOffset>8714105</wp:posOffset>
                </wp:positionV>
                <wp:extent cx="3113405" cy="86233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39"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 o:spid="_x0000_s1040" type="#_x0000_t202" style="position:absolute;left:0;text-align:left;margin-left:317.6pt;margin-top:686.15pt;width:245.15pt;height:6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P3NsUH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0"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7968" behindDoc="0" locked="0" layoutInCell="1" allowOverlap="1" wp14:anchorId="0FB4A8C1" wp14:editId="20BAA545">
                <wp:simplePos x="0" y="0"/>
                <wp:positionH relativeFrom="column">
                  <wp:posOffset>4033520</wp:posOffset>
                </wp:positionH>
                <wp:positionV relativeFrom="paragraph">
                  <wp:posOffset>8714105</wp:posOffset>
                </wp:positionV>
                <wp:extent cx="3113405" cy="86233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1"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41" type="#_x0000_t202" style="position:absolute;left:0;text-align:left;margin-left:317.6pt;margin-top:686.15pt;width:245.15pt;height:6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LwEO6n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2"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6944" behindDoc="0" locked="0" layoutInCell="1" allowOverlap="1" wp14:anchorId="3363018A" wp14:editId="783ECAD2">
                <wp:simplePos x="0" y="0"/>
                <wp:positionH relativeFrom="column">
                  <wp:posOffset>4033520</wp:posOffset>
                </wp:positionH>
                <wp:positionV relativeFrom="paragraph">
                  <wp:posOffset>8714105</wp:posOffset>
                </wp:positionV>
                <wp:extent cx="3113405" cy="86233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3"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5" o:spid="_x0000_s1042" type="#_x0000_t202" style="position:absolute;left:0;text-align:left;margin-left:317.6pt;margin-top:686.15pt;width:245.15pt;height:6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VkkF63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4"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5920" behindDoc="0" locked="0" layoutInCell="1" allowOverlap="1" wp14:anchorId="1BF7C344" wp14:editId="0B0ACD9D">
                <wp:simplePos x="0" y="0"/>
                <wp:positionH relativeFrom="column">
                  <wp:posOffset>4033520</wp:posOffset>
                </wp:positionH>
                <wp:positionV relativeFrom="paragraph">
                  <wp:posOffset>8714105</wp:posOffset>
                </wp:positionV>
                <wp:extent cx="3113405" cy="86233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5"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 o:spid="_x0000_s1043" type="#_x0000_t202" style="position:absolute;left:0;text-align:left;margin-left:317.6pt;margin-top:686.15pt;width:245.15pt;height:6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7mv093wC&#10;AAAK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6"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4896" behindDoc="0" locked="0" layoutInCell="1" allowOverlap="1" wp14:anchorId="387EC592" wp14:editId="726E3B17">
                <wp:simplePos x="0" y="0"/>
                <wp:positionH relativeFrom="column">
                  <wp:posOffset>4033520</wp:posOffset>
                </wp:positionH>
                <wp:positionV relativeFrom="paragraph">
                  <wp:posOffset>8714105</wp:posOffset>
                </wp:positionV>
                <wp:extent cx="3113405" cy="86233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7"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 o:spid="_x0000_s1044" type="#_x0000_t202" style="position:absolute;left:0;text-align:left;margin-left:317.6pt;margin-top:686.15pt;width:245.15pt;height:6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8"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sidR="002103C7">
        <w:rPr>
          <w:rFonts w:ascii="Arial Narrow" w:hAnsi="Arial Narrow" w:cs="Arial"/>
          <w:noProof/>
          <w:sz w:val="16"/>
          <w:szCs w:val="16"/>
        </w:rPr>
        <mc:AlternateContent>
          <mc:Choice Requires="wps">
            <w:drawing>
              <wp:anchor distT="0" distB="0" distL="114300" distR="114300" simplePos="0" relativeHeight="251663872" behindDoc="0" locked="0" layoutInCell="1" allowOverlap="1" wp14:anchorId="09DDE562" wp14:editId="20B5962D">
                <wp:simplePos x="0" y="0"/>
                <wp:positionH relativeFrom="column">
                  <wp:posOffset>4033520</wp:posOffset>
                </wp:positionH>
                <wp:positionV relativeFrom="paragraph">
                  <wp:posOffset>8714105</wp:posOffset>
                </wp:positionV>
                <wp:extent cx="3113405" cy="862330"/>
                <wp:effectExtent l="0" t="0" r="0" b="0"/>
                <wp:wrapNone/>
                <wp:docPr id="7"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49"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45" type="#_x0000_t202" style="position:absolute;left:0;text-align:left;margin-left:317.6pt;margin-top:686.15pt;width:245.15pt;height:6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" fillcolor="#5a5a5a" stroked="f">
                <v:path arrowok="t"/>
                <v:textbox inset="2.5mm,2.5mm,2.5mm,2.5mm">
                  <w:txbxContent>
                    <w:p w:rsidR="00E225AD" w:rsidRPr="00EC29A0" w:rsidRDefault="00E225AD" w:rsidP="00F25AC3">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50"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p>
    <w:p w:rsidR="000F4D00" w:rsidRPr="009A7BA5" w:rsidRDefault="002103C7">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after="60"/>
        <w:rPr>
          <w:rFonts w:ascii="Arial" w:hAnsi="Arial" w:cs="Arial"/>
          <w:b/>
          <w:bCs/>
          <w:sz w:val="17"/>
          <w:szCs w:val="17"/>
        </w:rPr>
        <w:sectPr w:rsidR="000F4D00" w:rsidRPr="009A7BA5" w:rsidSect="00B777E9">
          <w:type w:val="continuous"/>
          <w:pgSz w:w="11907" w:h="16840" w:code="9"/>
          <w:pgMar w:top="397" w:right="680" w:bottom="340" w:left="680" w:header="720" w:footer="720" w:gutter="0"/>
          <w:cols w:num="2" w:sep="1" w:space="794"/>
          <w:noEndnote/>
        </w:sectPr>
      </w:pPr>
      <w:r>
        <w:rPr>
          <w:rFonts w:ascii="Arial" w:hAnsi="Arial" w:cs="Arial"/>
          <w:b/>
          <w:bCs/>
          <w:noProof/>
          <w:sz w:val="17"/>
          <w:szCs w:val="17"/>
        </w:rPr>
        <mc:AlternateContent>
          <mc:Choice Requires="wps">
            <w:drawing>
              <wp:anchor distT="0" distB="0" distL="114300" distR="114300" simplePos="0" relativeHeight="251662848" behindDoc="0" locked="0" layoutInCell="1" allowOverlap="1" wp14:anchorId="0D3696AB" wp14:editId="023EE289">
                <wp:simplePos x="0" y="0"/>
                <wp:positionH relativeFrom="column">
                  <wp:posOffset>4033520</wp:posOffset>
                </wp:positionH>
                <wp:positionV relativeFrom="paragraph">
                  <wp:posOffset>8714105</wp:posOffset>
                </wp:positionV>
                <wp:extent cx="3113405" cy="862330"/>
                <wp:effectExtent l="0" t="0" r="0" b="0"/>
                <wp:wrapNone/>
                <wp:docPr id="5"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3A3BC0">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51"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 o:spid="_x0000_s1046" type="#_x0000_t202" style="position:absolute;margin-left:317.6pt;margin-top:686.15pt;width:245.15pt;height:6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" fillcolor="#5a5a5a" stroked="f">
                <v:path arrowok="t"/>
                <v:textbox inset="2.5mm,2.5mm,2.5mm,2.5mm">
                  <w:txbxContent>
                    <w:p w:rsidR="00E225AD" w:rsidRPr="00EC29A0" w:rsidRDefault="00E225AD" w:rsidP="003A3BC0">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52"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r>
        <w:rPr>
          <w:rFonts w:ascii="Arial" w:hAnsi="Arial" w:cs="Arial"/>
          <w:b/>
          <w:bCs/>
          <w:noProof/>
          <w:sz w:val="17"/>
          <w:szCs w:val="17"/>
        </w:rPr>
        <mc:AlternateContent>
          <mc:Choice Requires="wps">
            <w:drawing>
              <wp:anchor distT="0" distB="0" distL="114300" distR="114300" simplePos="0" relativeHeight="251661824" behindDoc="0" locked="0" layoutInCell="1" allowOverlap="1" wp14:anchorId="41854F07" wp14:editId="32358E4C">
                <wp:simplePos x="0" y="0"/>
                <wp:positionH relativeFrom="column">
                  <wp:posOffset>4033520</wp:posOffset>
                </wp:positionH>
                <wp:positionV relativeFrom="paragraph">
                  <wp:posOffset>8714105</wp:posOffset>
                </wp:positionV>
                <wp:extent cx="3113405" cy="86233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3405" cy="8623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5AD" w:rsidRPr="00EC29A0" w:rsidRDefault="00E225AD" w:rsidP="003A3BC0">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53"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47" type="#_x0000_t202" style="position:absolute;margin-left:317.6pt;margin-top:686.15pt;width:245.15pt;height:6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" fillcolor="#5a5a5a" stroked="f">
                <v:path arrowok="t"/>
                <v:textbox inset="2.5mm,2.5mm,2.5mm,2.5mm">
                  <w:txbxContent>
                    <w:p w:rsidR="00E225AD" w:rsidRPr="00EC29A0" w:rsidRDefault="00E225AD" w:rsidP="003A3BC0">
                      <w:pPr>
                        <w:spacing w:line="220" w:lineRule="exact"/>
                        <w:jc w:val="both"/>
                        <w:rPr>
                          <w:rFonts w:ascii="Arial Narrow" w:hAnsi="Arial Narrow"/>
                          <w:b/>
                          <w:i/>
                          <w:color w:val="FFFFFF"/>
                        </w:rPr>
                      </w:pPr>
                      <w:r w:rsidRPr="00A2788D">
                        <w:rPr>
                          <w:rFonts w:ascii="Arial Narrow" w:hAnsi="Arial Narrow"/>
                          <w:iCs/>
                          <w:color w:val="FFFFFF"/>
                        </w:rPr>
                        <w:t xml:space="preserve">Dal 10 luglio  è on line sul sito web dell’Istat  una nuova </w:t>
                      </w:r>
                      <w:r w:rsidRPr="00E11FED">
                        <w:rPr>
                          <w:rFonts w:ascii="Arial Narrow" w:hAnsi="Arial Narrow"/>
                          <w:iCs/>
                          <w:color w:val="FFFFFF"/>
                        </w:rPr>
                        <w:t xml:space="preserve">area </w:t>
                      </w:r>
                      <w:r w:rsidRPr="00A2788D">
                        <w:rPr>
                          <w:rFonts w:ascii="Arial Narrow" w:hAnsi="Arial Narrow"/>
                          <w:iCs/>
                          <w:color w:val="FFFFFF"/>
                        </w:rPr>
                        <w:t xml:space="preserve">dedicata alla </w:t>
                      </w:r>
                      <w:hyperlink r:id="rId54" w:history="1">
                        <w:r w:rsidRPr="001B5112">
                          <w:rPr>
                            <w:rStyle w:val="Collegamentoipertestuale"/>
                            <w:rFonts w:ascii="Arial Narrow" w:hAnsi="Arial Narrow"/>
                            <w:b/>
                            <w:iCs/>
                            <w:color w:val="FFFFFF"/>
                          </w:rPr>
                          <w:t>congiuntura</w:t>
                        </w:r>
                      </w:hyperlink>
                      <w:r w:rsidRPr="00A2788D">
                        <w:rPr>
                          <w:rFonts w:ascii="Arial Narrow" w:hAnsi="Arial Narrow"/>
                          <w:iCs/>
                          <w:color w:val="FFFFFF"/>
                        </w:rPr>
                        <w:t xml:space="preserve"> che offre una lettura integrata e rappresentazioni grafiche interattive</w:t>
                      </w:r>
                      <w:r>
                        <w:rPr>
                          <w:rFonts w:ascii="Arial Narrow" w:hAnsi="Arial Narrow"/>
                          <w:iCs/>
                          <w:color w:val="FFFFFF"/>
                        </w:rPr>
                        <w:t xml:space="preserve"> </w:t>
                      </w:r>
                      <w:r w:rsidRPr="00A2788D">
                        <w:rPr>
                          <w:rFonts w:ascii="Arial Narrow" w:hAnsi="Arial Narrow"/>
                          <w:iCs/>
                          <w:color w:val="FFFFFF"/>
                        </w:rPr>
                        <w:t>dei fenomeni, oltre al collegamento a dati e comunicati stampa dell’Istat, di Eurostat e di altre organizzazioni</w:t>
                      </w:r>
                      <w:r w:rsidRPr="00EC29A0">
                        <w:rPr>
                          <w:iCs/>
                        </w:rPr>
                        <w:t xml:space="preserve"> </w:t>
                      </w:r>
                      <w:r w:rsidRPr="00A2788D">
                        <w:rPr>
                          <w:rFonts w:ascii="Arial Narrow" w:hAnsi="Arial Narrow"/>
                          <w:iCs/>
                          <w:color w:val="FFFFFF"/>
                        </w:rPr>
                        <w:t>internazionali.</w:t>
                      </w:r>
                      <w:r>
                        <w:rPr>
                          <w:rFonts w:ascii="Arial Narrow" w:hAnsi="Arial Narrow"/>
                          <w:iCs/>
                          <w:color w:val="FFFFFF"/>
                        </w:rPr>
                        <w:t xml:space="preserve"> </w:t>
                      </w:r>
                    </w:p>
                  </w:txbxContent>
                </v:textbox>
              </v:shape>
            </w:pict>
          </mc:Fallback>
        </mc:AlternateContent>
      </w:r>
    </w:p>
    <w:p w:rsidR="000F4D00" w:rsidRDefault="000F4D00" w:rsidP="00D66ED3">
      <w:pPr>
        <w:spacing w:before="0" w:after="0"/>
        <w:ind w:left="1814"/>
        <w:rPr>
          <w:rFonts w:ascii="Arial" w:hAnsi="Arial" w:cs="Arial"/>
          <w:b/>
          <w:sz w:val="22"/>
          <w:szCs w:val="22"/>
        </w:rPr>
      </w:pPr>
      <w:r w:rsidRPr="009A7BA5">
        <w:rPr>
          <w:rFonts w:ascii="Arial" w:hAnsi="Arial" w:cs="Arial"/>
          <w:b/>
          <w:sz w:val="22"/>
          <w:szCs w:val="22"/>
        </w:rPr>
        <w:lastRenderedPageBreak/>
        <w:t>Indice nazionale</w:t>
      </w:r>
      <w:r w:rsidRPr="00EA0885">
        <w:rPr>
          <w:rFonts w:ascii="Arial" w:hAnsi="Arial" w:cs="Arial"/>
          <w:b/>
          <w:sz w:val="22"/>
          <w:szCs w:val="22"/>
        </w:rPr>
        <w:t xml:space="preserve"> dei prezzi al consumo per l’intera collettività</w:t>
      </w:r>
      <w:r>
        <w:rPr>
          <w:rFonts w:ascii="Arial" w:hAnsi="Arial" w:cs="Arial"/>
          <w:b/>
          <w:sz w:val="22"/>
          <w:szCs w:val="22"/>
        </w:rPr>
        <w:t xml:space="preserve"> (NIC)</w:t>
      </w:r>
    </w:p>
    <w:p w:rsidR="00D66ED3" w:rsidRPr="00D66ED3" w:rsidRDefault="00D66ED3" w:rsidP="00D66ED3">
      <w:pPr>
        <w:spacing w:before="0" w:after="0"/>
        <w:ind w:left="1814"/>
        <w:rPr>
          <w:rFonts w:ascii="Arial" w:hAnsi="Arial" w:cs="Arial"/>
          <w:b/>
          <w:sz w:val="16"/>
          <w:szCs w:val="16"/>
        </w:rPr>
      </w:pPr>
    </w:p>
    <w:p w:rsidR="000F4D00" w:rsidRPr="00231899" w:rsidRDefault="000F4D00" w:rsidP="00D66ED3">
      <w:pPr>
        <w:spacing w:before="0" w:after="0"/>
        <w:ind w:left="1814"/>
        <w:rPr>
          <w:rFonts w:ascii="Arial" w:hAnsi="Arial" w:cs="Arial"/>
          <w:b/>
          <w:sz w:val="2"/>
          <w:szCs w:val="2"/>
        </w:rPr>
      </w:pPr>
    </w:p>
    <w:p w:rsidR="000F4D00" w:rsidRPr="00EA0885" w:rsidRDefault="000F4D00" w:rsidP="00E01038">
      <w:pPr>
        <w:pStyle w:val="Titolo1"/>
        <w:ind w:left="1814"/>
        <w:rPr>
          <w:rFonts w:ascii="Arial" w:hAnsi="Arial" w:cs="Arial"/>
          <w:sz w:val="20"/>
        </w:rPr>
      </w:pPr>
      <w:r w:rsidRPr="00EA0885">
        <w:rPr>
          <w:rFonts w:ascii="Arial" w:hAnsi="Arial" w:cs="Arial"/>
          <w:sz w:val="20"/>
        </w:rPr>
        <w:t>Le divisioni</w:t>
      </w:r>
      <w:r>
        <w:rPr>
          <w:rFonts w:ascii="Arial" w:hAnsi="Arial" w:cs="Arial"/>
          <w:sz w:val="20"/>
        </w:rPr>
        <w:t xml:space="preserve"> di spesa</w:t>
      </w:r>
    </w:p>
    <w:p w:rsidR="00E225AD" w:rsidRPr="00E01038" w:rsidRDefault="00E225AD" w:rsidP="00E225AD">
      <w:pPr>
        <w:widowControl/>
        <w:overflowPunct/>
        <w:autoSpaceDE/>
        <w:autoSpaceDN/>
        <w:adjustRightInd/>
        <w:spacing w:before="0" w:after="120"/>
        <w:ind w:left="1814"/>
        <w:jc w:val="both"/>
        <w:rPr>
          <w:rFonts w:ascii="Arial" w:hAnsi="Arial" w:cs="Arial"/>
          <w:iCs/>
          <w:noProof/>
          <w:kern w:val="0"/>
        </w:rPr>
      </w:pPr>
      <w:r w:rsidRPr="00E01038">
        <w:rPr>
          <w:rFonts w:ascii="Arial" w:hAnsi="Arial" w:cs="Arial"/>
          <w:iCs/>
          <w:noProof/>
          <w:kern w:val="0"/>
        </w:rPr>
        <w:t xml:space="preserve">Nel mese di </w:t>
      </w:r>
      <w:r>
        <w:rPr>
          <w:rFonts w:ascii="Arial" w:hAnsi="Arial" w:cs="Arial"/>
          <w:iCs/>
          <w:noProof/>
          <w:kern w:val="0"/>
        </w:rPr>
        <w:t xml:space="preserve">giugno </w:t>
      </w:r>
      <w:r w:rsidRPr="00E01038">
        <w:rPr>
          <w:rFonts w:ascii="Arial" w:hAnsi="Arial" w:cs="Arial"/>
          <w:iCs/>
          <w:noProof/>
          <w:kern w:val="0"/>
        </w:rPr>
        <w:t xml:space="preserve">2016 </w:t>
      </w:r>
      <w:r>
        <w:rPr>
          <w:rFonts w:ascii="Arial" w:hAnsi="Arial" w:cs="Arial"/>
          <w:iCs/>
          <w:noProof/>
          <w:kern w:val="0"/>
        </w:rPr>
        <w:t xml:space="preserve">i maggiori </w:t>
      </w:r>
      <w:r w:rsidRPr="00E01038">
        <w:rPr>
          <w:rFonts w:ascii="Arial" w:hAnsi="Arial" w:cs="Arial"/>
          <w:iCs/>
          <w:noProof/>
          <w:kern w:val="0"/>
        </w:rPr>
        <w:t xml:space="preserve">aumenti congiunturali </w:t>
      </w:r>
      <w:r>
        <w:rPr>
          <w:rFonts w:ascii="Arial" w:hAnsi="Arial" w:cs="Arial"/>
          <w:iCs/>
          <w:noProof/>
          <w:kern w:val="0"/>
        </w:rPr>
        <w:t xml:space="preserve">interessano i prezzi dei Trasporti (+0,8%) e </w:t>
      </w:r>
      <w:r w:rsidRPr="00DB5637">
        <w:rPr>
          <w:rFonts w:ascii="Arial" w:hAnsi="Arial" w:cs="Arial"/>
          <w:iCs/>
          <w:noProof/>
          <w:kern w:val="0"/>
        </w:rPr>
        <w:t xml:space="preserve">delle Bevande alcoliche e tabacchi (+0,4%) (Prospetto 1). Aumenti su base mensile più contenuti si registrano per i prezzi Servizi ricettivi e di ristorazione (+0,2%), Prodotti alimentari e bevande analcoliche, Servizi sanitari e spese per la salute, Ricreazione, spettacoli e cultura e Istruzione (+0,1% per tutte e quattro le divisioni di spesa). Si registra una diminuzione dei prezzi per la sola divisione di spesa Comunicazioni (-1,0%). I prezzi delle rimanenti divisioni di spesa non variano rispetto a maggio 2016. </w:t>
      </w:r>
    </w:p>
    <w:p w:rsidR="00E225AD" w:rsidRPr="00E01038" w:rsidRDefault="00E225AD" w:rsidP="00E225AD">
      <w:pPr>
        <w:widowControl/>
        <w:overflowPunct/>
        <w:autoSpaceDE/>
        <w:autoSpaceDN/>
        <w:adjustRightInd/>
        <w:spacing w:before="0" w:after="120"/>
        <w:ind w:left="1814"/>
        <w:jc w:val="both"/>
        <w:rPr>
          <w:rFonts w:ascii="Arial" w:hAnsi="Arial" w:cs="Arial"/>
          <w:iCs/>
          <w:noProof/>
          <w:kern w:val="0"/>
        </w:rPr>
      </w:pPr>
      <w:r w:rsidRPr="00E01038">
        <w:rPr>
          <w:rFonts w:ascii="Arial" w:hAnsi="Arial" w:cs="Arial"/>
          <w:iCs/>
          <w:noProof/>
          <w:kern w:val="0"/>
        </w:rPr>
        <w:t>Su base annua</w:t>
      </w:r>
      <w:r w:rsidRPr="0046225F">
        <w:rPr>
          <w:rFonts w:ascii="Arial" w:hAnsi="Arial" w:cs="Arial"/>
          <w:iCs/>
          <w:noProof/>
          <w:kern w:val="0"/>
        </w:rPr>
        <w:t>, dieci divisioni di spesa presentano prezzi in aumento e due in diminuzione</w:t>
      </w:r>
      <w:r>
        <w:rPr>
          <w:rFonts w:ascii="Arial" w:hAnsi="Arial" w:cs="Arial"/>
          <w:iCs/>
          <w:noProof/>
          <w:kern w:val="0"/>
        </w:rPr>
        <w:t xml:space="preserve">. Tra quelle i cui prezzi sono in aumento, </w:t>
      </w:r>
      <w:r w:rsidRPr="0046225F">
        <w:rPr>
          <w:rFonts w:ascii="Arial" w:hAnsi="Arial" w:cs="Arial"/>
          <w:iCs/>
          <w:noProof/>
          <w:kern w:val="0"/>
        </w:rPr>
        <w:t>solo Bevande alcoliche e tabacchi registrano una dinamica di accelerazione della crescita tendenziale (+2,1%, da +1,4% di maggio</w:t>
      </w:r>
      <w:r>
        <w:rPr>
          <w:rFonts w:ascii="Arial" w:hAnsi="Arial" w:cs="Arial"/>
          <w:iCs/>
          <w:noProof/>
          <w:kern w:val="0"/>
        </w:rPr>
        <w:t>)</w:t>
      </w:r>
      <w:r w:rsidRPr="0046225F">
        <w:rPr>
          <w:rFonts w:ascii="Arial" w:hAnsi="Arial" w:cs="Arial"/>
          <w:iCs/>
          <w:noProof/>
          <w:kern w:val="0"/>
        </w:rPr>
        <w:t xml:space="preserve"> </w:t>
      </w:r>
      <w:r w:rsidRPr="0046225F">
        <w:rPr>
          <w:rFonts w:ascii="Arial" w:hAnsi="Arial" w:cs="Arial"/>
          <w:kern w:val="0"/>
        </w:rPr>
        <w:t>– determinata dall’aumento dei Tabacchi –</w:t>
      </w:r>
      <w:r w:rsidRPr="0046225F">
        <w:rPr>
          <w:rFonts w:ascii="Arial" w:hAnsi="Arial" w:cs="Arial"/>
          <w:iCs/>
          <w:noProof/>
          <w:kern w:val="0"/>
        </w:rPr>
        <w:t xml:space="preserve">  mentre tutti le altre divisioni di spesa mostrano una dinamica </w:t>
      </w:r>
      <w:r>
        <w:rPr>
          <w:rFonts w:ascii="Arial" w:hAnsi="Arial" w:cs="Arial"/>
          <w:iCs/>
          <w:noProof/>
          <w:kern w:val="0"/>
        </w:rPr>
        <w:t xml:space="preserve">tendenziale </w:t>
      </w:r>
      <w:r w:rsidRPr="0046225F">
        <w:rPr>
          <w:rFonts w:ascii="Arial" w:hAnsi="Arial" w:cs="Arial"/>
          <w:iCs/>
          <w:noProof/>
          <w:kern w:val="0"/>
        </w:rPr>
        <w:t>stabile o in rallentamento:</w:t>
      </w:r>
      <w:r>
        <w:rPr>
          <w:rFonts w:ascii="Arial" w:hAnsi="Arial" w:cs="Arial"/>
          <w:iCs/>
          <w:noProof/>
          <w:kern w:val="0"/>
        </w:rPr>
        <w:t xml:space="preserve"> Istruzione, (+1,3%), Abbigliamento e calzature (+0,5%), Mobili, articoli e servizi per la casa e </w:t>
      </w:r>
      <w:r w:rsidRPr="00410FD9">
        <w:rPr>
          <w:rFonts w:ascii="Arial" w:hAnsi="Arial" w:cs="Arial"/>
          <w:iCs/>
          <w:noProof/>
          <w:kern w:val="0"/>
        </w:rPr>
        <w:t>Servizi sanitari e spese per la salute</w:t>
      </w:r>
      <w:r>
        <w:rPr>
          <w:rFonts w:ascii="Arial" w:hAnsi="Arial" w:cs="Arial"/>
          <w:iCs/>
          <w:noProof/>
          <w:kern w:val="0"/>
        </w:rPr>
        <w:t xml:space="preserve"> (+0,3% per entrambe), Prodotti alimentari e bevande analcoliche (+0,2%) </w:t>
      </w:r>
      <w:r w:rsidRPr="00410FD9">
        <w:rPr>
          <w:rFonts w:ascii="Arial" w:hAnsi="Arial" w:cs="Arial"/>
          <w:iCs/>
          <w:noProof/>
          <w:kern w:val="0"/>
        </w:rPr>
        <w:t xml:space="preserve">e </w:t>
      </w:r>
      <w:r>
        <w:rPr>
          <w:rFonts w:ascii="Arial" w:hAnsi="Arial" w:cs="Arial"/>
          <w:iCs/>
          <w:noProof/>
          <w:kern w:val="0"/>
        </w:rPr>
        <w:t xml:space="preserve">Altri beni e servizi (+0,1%) segnano una crescita stabile rispetto a quella registrata a maggio; </w:t>
      </w:r>
      <w:r w:rsidRPr="00410FD9">
        <w:rPr>
          <w:rFonts w:ascii="Arial" w:hAnsi="Arial" w:cs="Arial"/>
          <w:iCs/>
          <w:noProof/>
          <w:kern w:val="0"/>
        </w:rPr>
        <w:t>rallentano i prezzi delle Comunicazioni (+1,2%, da +1,9% del mese precedente),</w:t>
      </w:r>
      <w:r w:rsidRPr="00C766EE">
        <w:rPr>
          <w:rFonts w:ascii="Arial" w:hAnsi="Arial" w:cs="Arial"/>
          <w:iCs/>
          <w:noProof/>
          <w:kern w:val="0"/>
        </w:rPr>
        <w:t xml:space="preserve"> </w:t>
      </w:r>
      <w:r>
        <w:rPr>
          <w:rFonts w:ascii="Arial" w:hAnsi="Arial" w:cs="Arial"/>
          <w:iCs/>
          <w:noProof/>
          <w:kern w:val="0"/>
        </w:rPr>
        <w:t xml:space="preserve">di </w:t>
      </w:r>
      <w:r w:rsidRPr="00410FD9">
        <w:rPr>
          <w:rFonts w:ascii="Arial" w:hAnsi="Arial" w:cs="Arial"/>
          <w:iCs/>
          <w:noProof/>
          <w:kern w:val="0"/>
        </w:rPr>
        <w:t>Ricreazione, spettacoli e cultura (+0,</w:t>
      </w:r>
      <w:r>
        <w:rPr>
          <w:rFonts w:ascii="Arial" w:hAnsi="Arial" w:cs="Arial"/>
          <w:iCs/>
          <w:noProof/>
          <w:kern w:val="0"/>
        </w:rPr>
        <w:t>2%, da +0,4</w:t>
      </w:r>
      <w:r w:rsidRPr="00410FD9">
        <w:rPr>
          <w:rFonts w:ascii="Arial" w:hAnsi="Arial" w:cs="Arial"/>
          <w:iCs/>
          <w:noProof/>
          <w:kern w:val="0"/>
        </w:rPr>
        <w:t>% del mese precedente</w:t>
      </w:r>
      <w:r>
        <w:rPr>
          <w:rFonts w:ascii="Arial" w:hAnsi="Arial" w:cs="Arial"/>
          <w:iCs/>
          <w:noProof/>
          <w:kern w:val="0"/>
        </w:rPr>
        <w:t>)</w:t>
      </w:r>
      <w:r w:rsidRPr="00410FD9">
        <w:rPr>
          <w:rFonts w:ascii="Arial" w:hAnsi="Arial" w:cs="Arial"/>
          <w:iCs/>
          <w:noProof/>
          <w:kern w:val="0"/>
        </w:rPr>
        <w:t xml:space="preserve"> e dei Servizi ricettivi e di ristorazione (+0,5%, da +0,6% d</w:t>
      </w:r>
      <w:r>
        <w:rPr>
          <w:rFonts w:ascii="Arial" w:hAnsi="Arial" w:cs="Arial"/>
          <w:iCs/>
          <w:noProof/>
          <w:kern w:val="0"/>
        </w:rPr>
        <w:t>el mese precedente).</w:t>
      </w:r>
      <w:r w:rsidRPr="00410FD9">
        <w:rPr>
          <w:rFonts w:ascii="Arial" w:hAnsi="Arial" w:cs="Arial"/>
          <w:iCs/>
          <w:noProof/>
          <w:kern w:val="0"/>
        </w:rPr>
        <w:t xml:space="preserve"> </w:t>
      </w:r>
      <w:r w:rsidRPr="00C766EE">
        <w:rPr>
          <w:rFonts w:ascii="Arial" w:hAnsi="Arial" w:cs="Arial"/>
          <w:iCs/>
          <w:noProof/>
          <w:kern w:val="0"/>
        </w:rPr>
        <w:t xml:space="preserve">Tra le divisioni di spesa i cui prezzi sono in calo, </w:t>
      </w:r>
      <w:r>
        <w:rPr>
          <w:rFonts w:ascii="Arial" w:hAnsi="Arial" w:cs="Arial"/>
          <w:iCs/>
          <w:noProof/>
          <w:kern w:val="0"/>
        </w:rPr>
        <w:t>la flessione dei prezzi dei T</w:t>
      </w:r>
      <w:r w:rsidRPr="00C766EE">
        <w:rPr>
          <w:rFonts w:ascii="Arial" w:hAnsi="Arial" w:cs="Arial"/>
          <w:iCs/>
          <w:noProof/>
          <w:kern w:val="0"/>
        </w:rPr>
        <w:t>rasporti si riduce di sei decimi di punto percentu</w:t>
      </w:r>
      <w:r>
        <w:rPr>
          <w:rFonts w:ascii="Arial" w:hAnsi="Arial" w:cs="Arial"/>
          <w:iCs/>
          <w:noProof/>
          <w:kern w:val="0"/>
        </w:rPr>
        <w:t>a</w:t>
      </w:r>
      <w:r w:rsidRPr="00C766EE">
        <w:rPr>
          <w:rFonts w:ascii="Arial" w:hAnsi="Arial" w:cs="Arial"/>
          <w:iCs/>
          <w:noProof/>
          <w:kern w:val="0"/>
        </w:rPr>
        <w:t>le (-2,3%, era -2,9% a maggio) mentre resta stabile quella di Abitazione, acqua, elettricità e combustibili (-2,</w:t>
      </w:r>
      <w:r>
        <w:rPr>
          <w:rFonts w:ascii="Arial" w:hAnsi="Arial" w:cs="Arial"/>
          <w:iCs/>
          <w:noProof/>
          <w:kern w:val="0"/>
        </w:rPr>
        <w:t>4</w:t>
      </w:r>
      <w:r w:rsidRPr="00C766EE">
        <w:rPr>
          <w:rFonts w:ascii="Arial" w:hAnsi="Arial" w:cs="Arial"/>
          <w:iCs/>
          <w:noProof/>
          <w:kern w:val="0"/>
        </w:rPr>
        <w:t xml:space="preserve">%). </w:t>
      </w:r>
    </w:p>
    <w:p w:rsidR="002D6287" w:rsidRPr="00EA0885" w:rsidRDefault="000F4D00" w:rsidP="002D6287">
      <w:pPr>
        <w:spacing w:before="0" w:after="60"/>
        <w:ind w:left="1814"/>
        <w:rPr>
          <w:rFonts w:ascii="Arial Narrow" w:hAnsi="Arial Narrow" w:cs="Arial"/>
          <w:sz w:val="19"/>
          <w:szCs w:val="19"/>
        </w:rPr>
      </w:pPr>
      <w:r w:rsidRPr="00EA0885">
        <w:rPr>
          <w:rFonts w:ascii="Arial Narrow" w:hAnsi="Arial Narrow" w:cs="Arial"/>
          <w:b/>
          <w:color w:val="5F5F5F"/>
        </w:rPr>
        <w:t>PROSPETTO 1. INDICI DEI PREZZI AL CONSUMO NIC, PER DIVISIONE</w:t>
      </w:r>
      <w:r>
        <w:rPr>
          <w:rFonts w:ascii="Arial Narrow" w:hAnsi="Arial Narrow" w:cs="Arial"/>
          <w:b/>
          <w:color w:val="5F5F5F"/>
        </w:rPr>
        <w:t xml:space="preserve"> DI SPESA</w:t>
      </w:r>
      <w:r w:rsidRPr="00EA0885">
        <w:rPr>
          <w:rFonts w:ascii="Arial Narrow" w:hAnsi="Arial Narrow" w:cs="Arial"/>
          <w:b/>
          <w:color w:val="5F5F5F"/>
        </w:rPr>
        <w:br/>
      </w:r>
      <w:r w:rsidR="004C2506">
        <w:rPr>
          <w:rFonts w:ascii="Arial Narrow" w:hAnsi="Arial Narrow" w:cs="Arial"/>
          <w:sz w:val="19"/>
          <w:szCs w:val="19"/>
        </w:rPr>
        <w:t>Giugno</w:t>
      </w:r>
      <w:r w:rsidR="00F4031C">
        <w:rPr>
          <w:rFonts w:ascii="Arial Narrow" w:hAnsi="Arial Narrow" w:cs="Arial"/>
          <w:sz w:val="19"/>
          <w:szCs w:val="19"/>
        </w:rPr>
        <w:t xml:space="preserve"> 201</w:t>
      </w:r>
      <w:r w:rsidR="00F33AFF">
        <w:rPr>
          <w:rFonts w:ascii="Arial Narrow" w:hAnsi="Arial Narrow" w:cs="Arial"/>
          <w:sz w:val="19"/>
          <w:szCs w:val="19"/>
        </w:rPr>
        <w:t>6</w:t>
      </w:r>
      <w:r w:rsidR="0060265A" w:rsidRPr="008154D4">
        <w:rPr>
          <w:rFonts w:ascii="Arial Narrow" w:hAnsi="Arial Narrow" w:cs="Arial"/>
          <w:sz w:val="19"/>
          <w:szCs w:val="19"/>
        </w:rPr>
        <w:t>, pesi e variazioni percentuali (base 201</w:t>
      </w:r>
      <w:r w:rsidR="009B104A">
        <w:rPr>
          <w:rFonts w:ascii="Arial Narrow" w:hAnsi="Arial Narrow" w:cs="Arial"/>
          <w:sz w:val="19"/>
          <w:szCs w:val="19"/>
        </w:rPr>
        <w:t>5</w:t>
      </w:r>
      <w:r w:rsidR="0060265A" w:rsidRPr="008154D4">
        <w:rPr>
          <w:rFonts w:ascii="Arial Narrow" w:hAnsi="Arial Narrow" w:cs="Arial"/>
          <w:sz w:val="19"/>
          <w:szCs w:val="19"/>
        </w:rPr>
        <w:t>=100)</w:t>
      </w:r>
      <w:r w:rsidR="0091710B">
        <w:rPr>
          <w:rFonts w:ascii="Arial Narrow" w:hAnsi="Arial Narrow" w:cs="Arial"/>
          <w:sz w:val="19"/>
          <w:szCs w:val="19"/>
        </w:rPr>
        <w:t xml:space="preserve"> </w:t>
      </w:r>
      <w:r w:rsidR="002D6287" w:rsidRPr="008D669E">
        <w:rPr>
          <w:rFonts w:ascii="Arial Narrow" w:hAnsi="Arial Narrow" w:cs="Arial"/>
          <w:sz w:val="19"/>
          <w:szCs w:val="19"/>
        </w:rPr>
        <w:t>(a)</w:t>
      </w:r>
    </w:p>
    <w:tbl>
      <w:tblPr>
        <w:tblW w:w="8789" w:type="dxa"/>
        <w:tblInd w:w="1913" w:type="dxa"/>
        <w:tblBorders>
          <w:top w:val="single" w:sz="6" w:space="0" w:color="808080"/>
          <w:bottom w:val="single" w:sz="6" w:space="0" w:color="808080"/>
          <w:insideH w:val="single" w:sz="6" w:space="0" w:color="808080"/>
        </w:tblBorders>
        <w:tblCellMar>
          <w:left w:w="70" w:type="dxa"/>
          <w:right w:w="0" w:type="dxa"/>
        </w:tblCellMar>
        <w:tblLook w:val="0000" w:firstRow="0" w:lastRow="0" w:firstColumn="0" w:lastColumn="0" w:noHBand="0" w:noVBand="0"/>
      </w:tblPr>
      <w:tblGrid>
        <w:gridCol w:w="3509"/>
        <w:gridCol w:w="1011"/>
        <w:gridCol w:w="827"/>
        <w:gridCol w:w="827"/>
        <w:gridCol w:w="825"/>
        <w:gridCol w:w="793"/>
        <w:gridCol w:w="997"/>
      </w:tblGrid>
      <w:tr w:rsidR="00F33AFF" w:rsidRPr="00EA0885" w:rsidTr="006948C8">
        <w:trPr>
          <w:trHeight w:val="255"/>
        </w:trPr>
        <w:tc>
          <w:tcPr>
            <w:tcW w:w="3509" w:type="dxa"/>
            <w:vMerge w:val="restart"/>
            <w:vAlign w:val="center"/>
          </w:tcPr>
          <w:p w:rsidR="00F33AFF" w:rsidRPr="00EA0885" w:rsidRDefault="00F33AFF" w:rsidP="001F7282">
            <w:pPr>
              <w:spacing w:before="40" w:after="20"/>
              <w:rPr>
                <w:rFonts w:ascii="Arial Narrow" w:hAnsi="Arial Narrow" w:cs="Arial"/>
                <w:bCs/>
                <w:sz w:val="18"/>
                <w:szCs w:val="18"/>
              </w:rPr>
            </w:pPr>
            <w:bookmarkStart w:id="2" w:name="OLE_LINK2"/>
            <w:r w:rsidRPr="00EA0885">
              <w:rPr>
                <w:rFonts w:ascii="Arial Narrow" w:hAnsi="Arial Narrow" w:cs="Arial"/>
                <w:b/>
                <w:bCs/>
                <w:sz w:val="18"/>
                <w:szCs w:val="18"/>
              </w:rPr>
              <w:t>Divisioni</w:t>
            </w:r>
            <w:r>
              <w:rPr>
                <w:rFonts w:ascii="Arial Narrow" w:hAnsi="Arial Narrow" w:cs="Arial"/>
                <w:b/>
                <w:bCs/>
                <w:sz w:val="18"/>
                <w:szCs w:val="18"/>
              </w:rPr>
              <w:t xml:space="preserve"> di spesa</w:t>
            </w:r>
          </w:p>
        </w:tc>
        <w:tc>
          <w:tcPr>
            <w:tcW w:w="1011" w:type="dxa"/>
            <w:vMerge w:val="restart"/>
            <w:shd w:val="clear" w:color="auto" w:fill="E6E6E6"/>
            <w:vAlign w:val="center"/>
          </w:tcPr>
          <w:p w:rsidR="00F33AFF" w:rsidRPr="00EA0885" w:rsidRDefault="00F33AFF" w:rsidP="001F5C37">
            <w:pPr>
              <w:spacing w:before="40" w:after="0"/>
              <w:ind w:right="113"/>
              <w:jc w:val="center"/>
              <w:rPr>
                <w:rFonts w:ascii="Arial Narrow" w:hAnsi="Arial Narrow" w:cs="Arial"/>
                <w:b/>
                <w:bCs/>
                <w:sz w:val="18"/>
                <w:szCs w:val="18"/>
              </w:rPr>
            </w:pPr>
            <w:r w:rsidRPr="00EA0885">
              <w:rPr>
                <w:rFonts w:ascii="Arial Narrow" w:hAnsi="Arial Narrow" w:cs="Arial"/>
                <w:b/>
                <w:bCs/>
                <w:sz w:val="18"/>
                <w:szCs w:val="18"/>
              </w:rPr>
              <w:t>Pesi</w:t>
            </w:r>
          </w:p>
        </w:tc>
        <w:tc>
          <w:tcPr>
            <w:tcW w:w="827" w:type="dxa"/>
            <w:tcBorders>
              <w:bottom w:val="nil"/>
            </w:tcBorders>
            <w:vAlign w:val="bottom"/>
          </w:tcPr>
          <w:p w:rsidR="00F33AFF" w:rsidRPr="007E6455" w:rsidRDefault="004C2506" w:rsidP="005B75D7">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00F33AFF">
              <w:rPr>
                <w:rFonts w:ascii="Arial Narrow" w:hAnsi="Arial Narrow" w:cs="Arial"/>
                <w:b/>
                <w:bCs/>
                <w:snapToGrid w:val="0"/>
                <w:kern w:val="0"/>
                <w:sz w:val="18"/>
                <w:szCs w:val="18"/>
                <w:u w:val="single"/>
              </w:rPr>
              <w:t>-16</w:t>
            </w:r>
          </w:p>
        </w:tc>
        <w:tc>
          <w:tcPr>
            <w:tcW w:w="827" w:type="dxa"/>
            <w:tcBorders>
              <w:bottom w:val="nil"/>
            </w:tcBorders>
            <w:vAlign w:val="bottom"/>
          </w:tcPr>
          <w:p w:rsidR="00F33AFF" w:rsidRPr="007E6455" w:rsidRDefault="004C2506" w:rsidP="005B75D7">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00576424">
              <w:rPr>
                <w:rFonts w:ascii="Arial Narrow" w:hAnsi="Arial Narrow" w:cs="Arial"/>
                <w:b/>
                <w:bCs/>
                <w:snapToGrid w:val="0"/>
                <w:kern w:val="0"/>
                <w:sz w:val="18"/>
                <w:szCs w:val="18"/>
                <w:u w:val="single"/>
              </w:rPr>
              <w:t>-16</w:t>
            </w:r>
          </w:p>
        </w:tc>
        <w:tc>
          <w:tcPr>
            <w:tcW w:w="825" w:type="dxa"/>
            <w:tcBorders>
              <w:bottom w:val="nil"/>
            </w:tcBorders>
            <w:vAlign w:val="bottom"/>
          </w:tcPr>
          <w:p w:rsidR="00F33AFF" w:rsidRPr="007E6455" w:rsidRDefault="004C2506" w:rsidP="005B75D7">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mag</w:t>
            </w:r>
            <w:r w:rsidR="00CD54F4">
              <w:rPr>
                <w:rFonts w:ascii="Arial Narrow" w:hAnsi="Arial Narrow" w:cs="Arial"/>
                <w:b/>
                <w:bCs/>
                <w:snapToGrid w:val="0"/>
                <w:kern w:val="0"/>
                <w:sz w:val="18"/>
                <w:szCs w:val="18"/>
                <w:u w:val="single"/>
              </w:rPr>
              <w:t>-16</w:t>
            </w:r>
          </w:p>
        </w:tc>
        <w:tc>
          <w:tcPr>
            <w:tcW w:w="793" w:type="dxa"/>
            <w:tcBorders>
              <w:bottom w:val="nil"/>
            </w:tcBorders>
            <w:vAlign w:val="bottom"/>
          </w:tcPr>
          <w:p w:rsidR="00F33AFF" w:rsidRPr="007E6455" w:rsidRDefault="004C2506" w:rsidP="005B75D7">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00F33AFF" w:rsidRPr="007E6455">
              <w:rPr>
                <w:rFonts w:ascii="Arial Narrow" w:hAnsi="Arial Narrow" w:cs="Arial"/>
                <w:b/>
                <w:bCs/>
                <w:snapToGrid w:val="0"/>
                <w:kern w:val="0"/>
                <w:sz w:val="18"/>
                <w:szCs w:val="18"/>
                <w:u w:val="single"/>
              </w:rPr>
              <w:t>-1</w:t>
            </w:r>
            <w:r w:rsidR="00F33AFF">
              <w:rPr>
                <w:rFonts w:ascii="Arial Narrow" w:hAnsi="Arial Narrow" w:cs="Arial"/>
                <w:b/>
                <w:bCs/>
                <w:snapToGrid w:val="0"/>
                <w:kern w:val="0"/>
                <w:sz w:val="18"/>
                <w:szCs w:val="18"/>
                <w:u w:val="single"/>
              </w:rPr>
              <w:t>5</w:t>
            </w:r>
          </w:p>
        </w:tc>
        <w:tc>
          <w:tcPr>
            <w:tcW w:w="997" w:type="dxa"/>
            <w:tcBorders>
              <w:bottom w:val="nil"/>
            </w:tcBorders>
            <w:shd w:val="clear" w:color="auto" w:fill="E6E6E6"/>
            <w:vAlign w:val="center"/>
          </w:tcPr>
          <w:p w:rsidR="00F33AFF" w:rsidRPr="00BF3E3B" w:rsidRDefault="00F33AFF" w:rsidP="00D07D71">
            <w:pPr>
              <w:spacing w:before="40" w:after="0"/>
              <w:jc w:val="center"/>
              <w:rPr>
                <w:rFonts w:ascii="Arial Narrow" w:hAnsi="Arial Narrow" w:cs="Arial"/>
                <w:b/>
                <w:bCs/>
                <w:sz w:val="18"/>
                <w:szCs w:val="18"/>
              </w:rPr>
            </w:pPr>
            <w:r>
              <w:rPr>
                <w:rFonts w:ascii="Arial Narrow" w:hAnsi="Arial Narrow" w:cs="Arial"/>
                <w:b/>
                <w:bCs/>
                <w:snapToGrid w:val="0"/>
                <w:sz w:val="18"/>
                <w:szCs w:val="18"/>
              </w:rPr>
              <w:t>Inflazione</w:t>
            </w:r>
          </w:p>
        </w:tc>
      </w:tr>
      <w:tr w:rsidR="00F33AFF" w:rsidRPr="00EA0885" w:rsidTr="006948C8">
        <w:trPr>
          <w:trHeight w:val="270"/>
        </w:trPr>
        <w:tc>
          <w:tcPr>
            <w:tcW w:w="3509" w:type="dxa"/>
            <w:vMerge/>
            <w:vAlign w:val="center"/>
          </w:tcPr>
          <w:p w:rsidR="00F33AFF" w:rsidRPr="00EA0885" w:rsidRDefault="00F33AFF" w:rsidP="001F7282">
            <w:pPr>
              <w:spacing w:before="40" w:after="20"/>
              <w:rPr>
                <w:rFonts w:ascii="Arial Narrow" w:hAnsi="Arial Narrow" w:cs="Arial"/>
                <w:b/>
                <w:bCs/>
                <w:sz w:val="18"/>
                <w:szCs w:val="18"/>
              </w:rPr>
            </w:pPr>
          </w:p>
        </w:tc>
        <w:tc>
          <w:tcPr>
            <w:tcW w:w="1011" w:type="dxa"/>
            <w:vMerge/>
            <w:shd w:val="clear" w:color="auto" w:fill="E6E6E6"/>
            <w:vAlign w:val="center"/>
          </w:tcPr>
          <w:p w:rsidR="00F33AFF" w:rsidRPr="00EA0885" w:rsidRDefault="00F33AFF" w:rsidP="00837B10">
            <w:pPr>
              <w:spacing w:before="40" w:after="20"/>
              <w:rPr>
                <w:rFonts w:ascii="Arial Narrow" w:hAnsi="Arial Narrow" w:cs="Arial"/>
                <w:b/>
                <w:bCs/>
                <w:sz w:val="18"/>
                <w:szCs w:val="18"/>
              </w:rPr>
            </w:pPr>
          </w:p>
        </w:tc>
        <w:tc>
          <w:tcPr>
            <w:tcW w:w="827" w:type="dxa"/>
            <w:tcBorders>
              <w:top w:val="nil"/>
            </w:tcBorders>
          </w:tcPr>
          <w:p w:rsidR="00F33AFF" w:rsidRPr="007E6455" w:rsidRDefault="004C2506" w:rsidP="005B75D7">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00F33AFF" w:rsidRPr="007E6455">
              <w:rPr>
                <w:rFonts w:ascii="Arial Narrow" w:hAnsi="Arial Narrow" w:cs="Arial"/>
                <w:b/>
                <w:bCs/>
                <w:snapToGrid w:val="0"/>
                <w:kern w:val="0"/>
                <w:sz w:val="18"/>
                <w:szCs w:val="18"/>
              </w:rPr>
              <w:t>-1</w:t>
            </w:r>
            <w:r w:rsidR="00CD54F4">
              <w:rPr>
                <w:rFonts w:ascii="Arial Narrow" w:hAnsi="Arial Narrow" w:cs="Arial"/>
                <w:b/>
                <w:bCs/>
                <w:snapToGrid w:val="0"/>
                <w:kern w:val="0"/>
                <w:sz w:val="18"/>
                <w:szCs w:val="18"/>
              </w:rPr>
              <w:t>6</w:t>
            </w:r>
          </w:p>
        </w:tc>
        <w:tc>
          <w:tcPr>
            <w:tcW w:w="827" w:type="dxa"/>
            <w:tcBorders>
              <w:top w:val="nil"/>
            </w:tcBorders>
          </w:tcPr>
          <w:p w:rsidR="00F33AFF" w:rsidRPr="007E6455" w:rsidRDefault="004C2506" w:rsidP="005B75D7">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giu</w:t>
            </w:r>
            <w:r w:rsidR="00576424">
              <w:rPr>
                <w:rFonts w:ascii="Arial Narrow" w:hAnsi="Arial Narrow" w:cs="Arial"/>
                <w:b/>
                <w:bCs/>
                <w:snapToGrid w:val="0"/>
                <w:kern w:val="0"/>
                <w:sz w:val="18"/>
                <w:szCs w:val="18"/>
              </w:rPr>
              <w:t>-15</w:t>
            </w:r>
          </w:p>
        </w:tc>
        <w:tc>
          <w:tcPr>
            <w:tcW w:w="825" w:type="dxa"/>
            <w:tcBorders>
              <w:top w:val="nil"/>
            </w:tcBorders>
          </w:tcPr>
          <w:p w:rsidR="00F33AFF" w:rsidRPr="007E6455" w:rsidRDefault="004C2506" w:rsidP="005B75D7">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00CD54F4">
              <w:rPr>
                <w:rFonts w:ascii="Arial Narrow" w:hAnsi="Arial Narrow" w:cs="Arial"/>
                <w:b/>
                <w:bCs/>
                <w:snapToGrid w:val="0"/>
                <w:kern w:val="0"/>
                <w:sz w:val="18"/>
                <w:szCs w:val="18"/>
              </w:rPr>
              <w:t>-15</w:t>
            </w:r>
          </w:p>
        </w:tc>
        <w:tc>
          <w:tcPr>
            <w:tcW w:w="793" w:type="dxa"/>
            <w:tcBorders>
              <w:top w:val="nil"/>
            </w:tcBorders>
          </w:tcPr>
          <w:p w:rsidR="00F33AFF" w:rsidRPr="007E6455" w:rsidRDefault="004C2506" w:rsidP="00CD54F4">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00F33AFF" w:rsidRPr="007E6455">
              <w:rPr>
                <w:rFonts w:ascii="Arial Narrow" w:hAnsi="Arial Narrow" w:cs="Arial"/>
                <w:b/>
                <w:bCs/>
                <w:snapToGrid w:val="0"/>
                <w:kern w:val="0"/>
                <w:sz w:val="18"/>
                <w:szCs w:val="18"/>
              </w:rPr>
              <w:t>-1</w:t>
            </w:r>
            <w:r w:rsidR="00CD54F4">
              <w:rPr>
                <w:rFonts w:ascii="Arial Narrow" w:hAnsi="Arial Narrow" w:cs="Arial"/>
                <w:b/>
                <w:bCs/>
                <w:snapToGrid w:val="0"/>
                <w:kern w:val="0"/>
                <w:sz w:val="18"/>
                <w:szCs w:val="18"/>
              </w:rPr>
              <w:t>5</w:t>
            </w:r>
          </w:p>
        </w:tc>
        <w:tc>
          <w:tcPr>
            <w:tcW w:w="997" w:type="dxa"/>
            <w:tcBorders>
              <w:top w:val="nil"/>
            </w:tcBorders>
            <w:shd w:val="clear" w:color="auto" w:fill="E6E6E6"/>
          </w:tcPr>
          <w:p w:rsidR="00F33AFF" w:rsidRPr="00BF3E3B" w:rsidRDefault="00F33AFF" w:rsidP="00D07D71">
            <w:pPr>
              <w:spacing w:before="0" w:after="20"/>
              <w:jc w:val="center"/>
              <w:rPr>
                <w:rFonts w:ascii="Arial Narrow" w:hAnsi="Arial Narrow" w:cs="Arial"/>
                <w:b/>
                <w:bCs/>
                <w:sz w:val="18"/>
                <w:szCs w:val="18"/>
              </w:rPr>
            </w:pPr>
            <w:r>
              <w:rPr>
                <w:rFonts w:ascii="Arial Narrow" w:hAnsi="Arial Narrow" w:cs="Arial"/>
                <w:b/>
                <w:bCs/>
                <w:snapToGrid w:val="0"/>
                <w:sz w:val="18"/>
                <w:szCs w:val="18"/>
              </w:rPr>
              <w:t>acquisita</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Prodotti alimentari e bevande analcoliche</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165.706</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Bevande alcoliche e tabacchi</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32.497</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2,1</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1,4</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1,5</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Abbigliamento e calzature</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71.837</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Abitazione, acqua, elettricità e combustibili</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114.454</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-2,4</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-2,4</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-2,1</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Mobili, articoli e servizi per la casa</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71.798</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Servizi sanitari e spese per la salute</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86.049</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Trasporti</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133.218</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-2,3</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-2,9</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-1,8</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Comunicazioni</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26.950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1,2</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1,9</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Ricreazione, spettacoli e cultura</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77.890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Istruzione</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12.482</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1,3</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1,3</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1,0</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Servizi ricettivi e di ristorazione</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114.490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0,6</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r>
      <w:tr w:rsidR="004C0D68" w:rsidRPr="00EA0885" w:rsidTr="004C0D68">
        <w:trPr>
          <w:trHeight w:val="255"/>
        </w:trPr>
        <w:tc>
          <w:tcPr>
            <w:tcW w:w="3509" w:type="dxa"/>
            <w:vAlign w:val="center"/>
          </w:tcPr>
          <w:p w:rsidR="004C0D68" w:rsidRPr="00EA0885" w:rsidRDefault="004C0D68" w:rsidP="001F7282">
            <w:pPr>
              <w:spacing w:before="40" w:after="20"/>
              <w:rPr>
                <w:rFonts w:ascii="Arial Narrow" w:hAnsi="Arial Narrow" w:cs="Arial"/>
                <w:sz w:val="18"/>
                <w:szCs w:val="18"/>
              </w:rPr>
            </w:pPr>
            <w:r w:rsidRPr="00EA0885">
              <w:rPr>
                <w:rFonts w:ascii="Arial Narrow" w:hAnsi="Arial Narrow" w:cs="Arial"/>
                <w:sz w:val="18"/>
                <w:szCs w:val="18"/>
              </w:rPr>
              <w:t>Altri beni e servizi</w:t>
            </w:r>
          </w:p>
        </w:tc>
        <w:tc>
          <w:tcPr>
            <w:tcW w:w="1011" w:type="dxa"/>
            <w:shd w:val="clear" w:color="auto" w:fill="E6E6E6"/>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sz w:val="18"/>
                <w:szCs w:val="18"/>
              </w:rPr>
              <w:t>92.629</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27" w:type="dxa"/>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25"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793" w:type="dxa"/>
            <w:vAlign w:val="center"/>
          </w:tcPr>
          <w:p w:rsidR="004C0D68" w:rsidRPr="00875F2D" w:rsidRDefault="004C0D6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997" w:type="dxa"/>
            <w:shd w:val="clear" w:color="auto" w:fill="E6E6E6"/>
            <w:tcMar>
              <w:left w:w="284" w:type="dxa"/>
              <w:right w:w="57" w:type="dxa"/>
            </w:tcMar>
            <w:vAlign w:val="center"/>
          </w:tcPr>
          <w:p w:rsidR="004C0D68" w:rsidRPr="00875F2D" w:rsidRDefault="004C0D68" w:rsidP="004C0D6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r>
      <w:tr w:rsidR="004C0D68" w:rsidRPr="00310271" w:rsidTr="004C0D68">
        <w:trPr>
          <w:trHeight w:val="284"/>
        </w:trPr>
        <w:tc>
          <w:tcPr>
            <w:tcW w:w="3509" w:type="dxa"/>
            <w:shd w:val="clear" w:color="auto" w:fill="FF0000"/>
            <w:vAlign w:val="center"/>
          </w:tcPr>
          <w:p w:rsidR="004C0D68" w:rsidRPr="00EA0885" w:rsidRDefault="004C0D68" w:rsidP="001F7282">
            <w:pPr>
              <w:spacing w:before="40" w:after="20"/>
              <w:rPr>
                <w:rFonts w:ascii="Arial Narrow" w:hAnsi="Arial Narrow" w:cs="Arial"/>
                <w:b/>
                <w:bCs/>
                <w:color w:val="FFFFFF"/>
                <w:sz w:val="18"/>
                <w:szCs w:val="18"/>
              </w:rPr>
            </w:pPr>
            <w:r w:rsidRPr="00EA0885">
              <w:rPr>
                <w:rFonts w:ascii="Arial Narrow" w:hAnsi="Arial Narrow" w:cs="Arial"/>
                <w:b/>
                <w:bCs/>
                <w:color w:val="FFFFFF"/>
                <w:sz w:val="18"/>
                <w:szCs w:val="18"/>
              </w:rPr>
              <w:t>Indice generale</w:t>
            </w:r>
          </w:p>
        </w:tc>
        <w:tc>
          <w:tcPr>
            <w:tcW w:w="1011" w:type="dxa"/>
            <w:shd w:val="clear" w:color="auto" w:fill="FF0000"/>
            <w:vAlign w:val="bottom"/>
          </w:tcPr>
          <w:p w:rsidR="004C0D68" w:rsidRPr="006948C8" w:rsidRDefault="004C0D68" w:rsidP="006948C8">
            <w:pPr>
              <w:spacing w:before="40" w:after="20"/>
              <w:ind w:right="284"/>
              <w:jc w:val="right"/>
              <w:rPr>
                <w:rFonts w:ascii="Arial Narrow" w:hAnsi="Arial Narrow" w:cs="Arial"/>
                <w:sz w:val="18"/>
                <w:szCs w:val="18"/>
              </w:rPr>
            </w:pPr>
            <w:r w:rsidRPr="006948C8">
              <w:rPr>
                <w:rFonts w:ascii="Arial Narrow" w:hAnsi="Arial Narrow" w:cs="Arial"/>
                <w:b/>
                <w:color w:val="FFFFFF" w:themeColor="background1"/>
                <w:sz w:val="18"/>
                <w:szCs w:val="18"/>
              </w:rPr>
              <w:t>1.000.000</w:t>
            </w:r>
          </w:p>
        </w:tc>
        <w:tc>
          <w:tcPr>
            <w:tcW w:w="827" w:type="dxa"/>
            <w:shd w:val="clear" w:color="auto" w:fill="FF0000"/>
            <w:vAlign w:val="center"/>
          </w:tcPr>
          <w:p w:rsidR="004C0D68" w:rsidRPr="00875F2D" w:rsidRDefault="004C0D68" w:rsidP="004C0D68">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827" w:type="dxa"/>
            <w:shd w:val="clear" w:color="auto" w:fill="FF0000"/>
            <w:vAlign w:val="center"/>
          </w:tcPr>
          <w:p w:rsidR="004C0D68" w:rsidRPr="00875F2D" w:rsidRDefault="004C0D68" w:rsidP="004C0D68">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c>
          <w:tcPr>
            <w:tcW w:w="825" w:type="dxa"/>
            <w:shd w:val="clear" w:color="auto" w:fill="FF0000"/>
            <w:vAlign w:val="center"/>
          </w:tcPr>
          <w:p w:rsidR="004C0D68" w:rsidRPr="00875F2D" w:rsidRDefault="004C0D68" w:rsidP="000E79A9">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793" w:type="dxa"/>
            <w:shd w:val="clear" w:color="auto" w:fill="FF0000"/>
            <w:vAlign w:val="center"/>
          </w:tcPr>
          <w:p w:rsidR="004C0D68" w:rsidRPr="00875F2D" w:rsidRDefault="004C0D68" w:rsidP="000E79A9">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997" w:type="dxa"/>
            <w:shd w:val="clear" w:color="auto" w:fill="FF0000"/>
            <w:tcMar>
              <w:left w:w="284" w:type="dxa"/>
              <w:right w:w="57" w:type="dxa"/>
            </w:tcMar>
            <w:vAlign w:val="center"/>
          </w:tcPr>
          <w:p w:rsidR="004C0D68" w:rsidRPr="00875F2D" w:rsidRDefault="004C0D68" w:rsidP="004C0D68">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r>
    </w:tbl>
    <w:bookmarkEnd w:id="2"/>
    <w:p w:rsidR="002D6287" w:rsidRDefault="002D6287" w:rsidP="002D6287">
      <w:pPr>
        <w:spacing w:before="80" w:after="0"/>
        <w:ind w:left="1814"/>
        <w:jc w:val="both"/>
        <w:rPr>
          <w:rFonts w:ascii="Arial Narrow" w:hAnsi="Arial Narrow" w:cs="Arial"/>
          <w:sz w:val="6"/>
          <w:szCs w:val="6"/>
        </w:rPr>
      </w:pPr>
      <w:r w:rsidRPr="009A7BA5">
        <w:rPr>
          <w:rFonts w:ascii="Arial Narrow" w:hAnsi="Arial Narrow" w:cs="Arial"/>
          <w:sz w:val="15"/>
          <w:szCs w:val="15"/>
        </w:rPr>
        <w:t>(a)</w:t>
      </w:r>
      <w:r w:rsidRPr="00D72F92">
        <w:rPr>
          <w:rFonts w:ascii="Arial Narrow" w:hAnsi="Arial Narrow" w:cs="Arial"/>
          <w:sz w:val="15"/>
          <w:szCs w:val="15"/>
        </w:rPr>
        <w:t xml:space="preserve"> le variazioni tendenziali e l’inflazione acquisita, con l’aggiornamento della base di riferimento degli indici NIC all’anno</w:t>
      </w:r>
      <w:r>
        <w:rPr>
          <w:rFonts w:ascii="Arial Narrow" w:hAnsi="Arial Narrow" w:cs="Arial"/>
          <w:sz w:val="15"/>
          <w:szCs w:val="15"/>
        </w:rPr>
        <w:t xml:space="preserve"> </w:t>
      </w:r>
      <w:r w:rsidRPr="00D72F92">
        <w:rPr>
          <w:rFonts w:ascii="Arial Narrow" w:hAnsi="Arial Narrow" w:cs="Arial"/>
          <w:sz w:val="15"/>
          <w:szCs w:val="15"/>
        </w:rPr>
        <w:t>201</w:t>
      </w:r>
      <w:r>
        <w:rPr>
          <w:rFonts w:ascii="Arial Narrow" w:hAnsi="Arial Narrow" w:cs="Arial"/>
          <w:sz w:val="15"/>
          <w:szCs w:val="15"/>
        </w:rPr>
        <w:t xml:space="preserve">5 </w:t>
      </w:r>
      <w:r w:rsidRPr="00D72F92">
        <w:rPr>
          <w:rFonts w:ascii="Arial Narrow" w:hAnsi="Arial Narrow" w:cs="Arial"/>
          <w:sz w:val="15"/>
          <w:szCs w:val="15"/>
        </w:rPr>
        <w:t xml:space="preserve">(base precedente </w:t>
      </w:r>
      <w:r>
        <w:rPr>
          <w:rFonts w:ascii="Arial Narrow" w:hAnsi="Arial Narrow" w:cs="Arial"/>
          <w:sz w:val="15"/>
          <w:szCs w:val="15"/>
        </w:rPr>
        <w:t>2010</w:t>
      </w:r>
      <w:r w:rsidRPr="00D72F92">
        <w:rPr>
          <w:rFonts w:ascii="Arial Narrow" w:hAnsi="Arial Narrow" w:cs="Arial"/>
          <w:sz w:val="15"/>
          <w:szCs w:val="15"/>
        </w:rPr>
        <w:t>=100), sono calcolate utilizzando i coefficient</w:t>
      </w:r>
      <w:r>
        <w:rPr>
          <w:rFonts w:ascii="Arial Narrow" w:hAnsi="Arial Narrow" w:cs="Arial"/>
          <w:sz w:val="15"/>
          <w:szCs w:val="15"/>
        </w:rPr>
        <w:t>i</w:t>
      </w:r>
      <w:r w:rsidRPr="00D72F92">
        <w:rPr>
          <w:rFonts w:ascii="Arial Narrow" w:hAnsi="Arial Narrow" w:cs="Arial"/>
          <w:sz w:val="15"/>
          <w:szCs w:val="15"/>
        </w:rPr>
        <w:t xml:space="preserve"> di raccordo. Si veda la Nota metodologica </w:t>
      </w:r>
      <w:r>
        <w:rPr>
          <w:rFonts w:ascii="Arial Narrow" w:hAnsi="Arial Narrow" w:cs="Arial"/>
          <w:sz w:val="15"/>
          <w:szCs w:val="15"/>
        </w:rPr>
        <w:t>alla fine del comunicato.</w:t>
      </w:r>
    </w:p>
    <w:p w:rsidR="00844071" w:rsidRDefault="000F4D00" w:rsidP="00852DFE">
      <w:pPr>
        <w:pStyle w:val="Titolo1"/>
        <w:spacing w:before="240"/>
        <w:ind w:left="1814"/>
        <w:rPr>
          <w:rFonts w:ascii="Arial" w:hAnsi="Arial" w:cs="Arial"/>
          <w:sz w:val="20"/>
        </w:rPr>
      </w:pPr>
      <w:r w:rsidRPr="00EA0885">
        <w:rPr>
          <w:rFonts w:ascii="Arial" w:hAnsi="Arial" w:cs="Arial"/>
          <w:sz w:val="20"/>
        </w:rPr>
        <w:t>Le tipologie di prodotto</w:t>
      </w:r>
    </w:p>
    <w:p w:rsidR="00DF25CB" w:rsidRPr="001139DB" w:rsidRDefault="00DF25CB" w:rsidP="00DF25CB">
      <w:pPr>
        <w:widowControl/>
        <w:overflowPunct/>
        <w:autoSpaceDE/>
        <w:autoSpaceDN/>
        <w:adjustRightInd/>
        <w:spacing w:before="0" w:after="120"/>
        <w:ind w:left="1814"/>
        <w:jc w:val="both"/>
        <w:rPr>
          <w:rFonts w:ascii="Arial" w:hAnsi="Arial" w:cs="Arial"/>
          <w:kern w:val="0"/>
        </w:rPr>
      </w:pPr>
      <w:r w:rsidRPr="001139DB">
        <w:rPr>
          <w:rFonts w:ascii="Arial" w:hAnsi="Arial" w:cs="Arial"/>
          <w:kern w:val="0"/>
        </w:rPr>
        <w:t>Considerando i due principali aggregati (beni e servizi), i prezzi dei beni registrano una flessione su base annua (-0,9%) meno ampia di quella rilevata a maggio e i prezzi dei servizi un tasso di crescita tendenziale stabile e pari a +0,4% (Figura 1 e Prospetto 2). Di conseguenza, il differenziale inflazionistico tra i tassi di variazione tendenziale dei prezzi dei servizi e quelli dei beni si riduce, portandosi a più 1,3 punti percentuali (da più 1,4 di maggio).</w:t>
      </w:r>
    </w:p>
    <w:p w:rsidR="00DF25CB" w:rsidRPr="00E01038" w:rsidRDefault="00DF25CB" w:rsidP="00DF25CB">
      <w:pPr>
        <w:widowControl/>
        <w:overflowPunct/>
        <w:autoSpaceDE/>
        <w:autoSpaceDN/>
        <w:adjustRightInd/>
        <w:spacing w:before="0" w:after="80"/>
        <w:ind w:left="1814"/>
        <w:jc w:val="both"/>
        <w:rPr>
          <w:rFonts w:ascii="Arial" w:hAnsi="Arial" w:cs="Arial"/>
          <w:kern w:val="0"/>
        </w:rPr>
      </w:pPr>
      <w:r w:rsidRPr="00E01038">
        <w:rPr>
          <w:rFonts w:ascii="Arial" w:hAnsi="Arial" w:cs="Arial"/>
          <w:kern w:val="0"/>
        </w:rPr>
        <w:t xml:space="preserve">Tra i beni, i prezzi degli Alimentari (incluse le bevande alcoliche) </w:t>
      </w:r>
      <w:r>
        <w:rPr>
          <w:rFonts w:ascii="Arial" w:hAnsi="Arial" w:cs="Arial"/>
          <w:kern w:val="0"/>
        </w:rPr>
        <w:t>sono fermi</w:t>
      </w:r>
      <w:r w:rsidRPr="00E01038">
        <w:rPr>
          <w:rFonts w:ascii="Arial" w:hAnsi="Arial" w:cs="Arial"/>
          <w:kern w:val="0"/>
        </w:rPr>
        <w:t xml:space="preserve"> su base mensile e </w:t>
      </w:r>
      <w:r>
        <w:rPr>
          <w:rFonts w:ascii="Arial" w:hAnsi="Arial" w:cs="Arial"/>
          <w:kern w:val="0"/>
        </w:rPr>
        <w:t xml:space="preserve">fanno registrare un </w:t>
      </w:r>
      <w:r w:rsidR="005E06DC">
        <w:rPr>
          <w:rFonts w:ascii="Arial" w:hAnsi="Arial" w:cs="Arial"/>
          <w:kern w:val="0"/>
        </w:rPr>
        <w:t xml:space="preserve">lieve </w:t>
      </w:r>
      <w:r>
        <w:rPr>
          <w:rFonts w:ascii="Arial" w:hAnsi="Arial" w:cs="Arial"/>
          <w:kern w:val="0"/>
        </w:rPr>
        <w:t>rallentamento della crescita su base annua (+0,1%, da +</w:t>
      </w:r>
      <w:r w:rsidRPr="00E01038">
        <w:rPr>
          <w:rFonts w:ascii="Arial" w:hAnsi="Arial" w:cs="Arial"/>
          <w:kern w:val="0"/>
        </w:rPr>
        <w:t>0,</w:t>
      </w:r>
      <w:r>
        <w:rPr>
          <w:rFonts w:ascii="Arial" w:hAnsi="Arial" w:cs="Arial"/>
          <w:kern w:val="0"/>
        </w:rPr>
        <w:t>2</w:t>
      </w:r>
      <w:r w:rsidRPr="00E01038">
        <w:rPr>
          <w:rFonts w:ascii="Arial" w:hAnsi="Arial" w:cs="Arial"/>
          <w:kern w:val="0"/>
        </w:rPr>
        <w:t>%</w:t>
      </w:r>
      <w:r>
        <w:rPr>
          <w:rFonts w:ascii="Arial" w:hAnsi="Arial" w:cs="Arial"/>
          <w:kern w:val="0"/>
        </w:rPr>
        <w:t xml:space="preserve"> di maggio)</w:t>
      </w:r>
      <w:r w:rsidRPr="00E01038">
        <w:rPr>
          <w:rFonts w:ascii="Arial" w:hAnsi="Arial" w:cs="Arial"/>
          <w:kern w:val="0"/>
        </w:rPr>
        <w:t xml:space="preserve">. La dinamica dei prezzi dei Beni alimentari è imputabile </w:t>
      </w:r>
      <w:r w:rsidR="00AA4F5A">
        <w:rPr>
          <w:rFonts w:ascii="Arial" w:hAnsi="Arial" w:cs="Arial"/>
          <w:kern w:val="0"/>
        </w:rPr>
        <w:t xml:space="preserve">principalmente </w:t>
      </w:r>
      <w:r w:rsidRPr="00E01038">
        <w:rPr>
          <w:rFonts w:ascii="Arial" w:hAnsi="Arial" w:cs="Arial"/>
          <w:kern w:val="0"/>
        </w:rPr>
        <w:t xml:space="preserve">all’andamento dei prezzi dei prodotti lavorati: questi </w:t>
      </w:r>
      <w:r>
        <w:rPr>
          <w:rFonts w:ascii="Arial" w:hAnsi="Arial" w:cs="Arial"/>
          <w:kern w:val="0"/>
        </w:rPr>
        <w:t>diminuiscono dello</w:t>
      </w:r>
      <w:r w:rsidRPr="00E01038">
        <w:rPr>
          <w:rFonts w:ascii="Arial" w:hAnsi="Arial" w:cs="Arial"/>
          <w:kern w:val="0"/>
        </w:rPr>
        <w:t xml:space="preserve"> </w:t>
      </w:r>
      <w:r>
        <w:rPr>
          <w:rFonts w:ascii="Arial" w:hAnsi="Arial" w:cs="Arial"/>
          <w:kern w:val="0"/>
        </w:rPr>
        <w:t>0,1% i</w:t>
      </w:r>
      <w:r w:rsidRPr="00E01038">
        <w:rPr>
          <w:rFonts w:ascii="Arial" w:hAnsi="Arial" w:cs="Arial"/>
          <w:kern w:val="0"/>
        </w:rPr>
        <w:t xml:space="preserve">n termini congiunturali </w:t>
      </w:r>
      <w:r>
        <w:rPr>
          <w:rFonts w:ascii="Arial" w:hAnsi="Arial" w:cs="Arial"/>
          <w:kern w:val="0"/>
        </w:rPr>
        <w:t xml:space="preserve">e registrano un’azzeramento </w:t>
      </w:r>
      <w:r w:rsidR="00A35BAA">
        <w:rPr>
          <w:rFonts w:ascii="Arial" w:hAnsi="Arial" w:cs="Arial"/>
          <w:kern w:val="0"/>
        </w:rPr>
        <w:t xml:space="preserve">della </w:t>
      </w:r>
      <w:r>
        <w:rPr>
          <w:rFonts w:ascii="Arial" w:hAnsi="Arial" w:cs="Arial"/>
          <w:kern w:val="0"/>
        </w:rPr>
        <w:t>crescita su base annua</w:t>
      </w:r>
      <w:r w:rsidRPr="00E01038">
        <w:rPr>
          <w:rFonts w:ascii="Arial" w:hAnsi="Arial" w:cs="Arial"/>
          <w:kern w:val="0"/>
        </w:rPr>
        <w:t xml:space="preserve"> </w:t>
      </w:r>
      <w:r>
        <w:rPr>
          <w:rFonts w:ascii="Arial" w:hAnsi="Arial" w:cs="Arial"/>
          <w:kern w:val="0"/>
        </w:rPr>
        <w:t>(era</w:t>
      </w:r>
      <w:r w:rsidRPr="00E01038">
        <w:rPr>
          <w:rFonts w:ascii="Arial" w:hAnsi="Arial" w:cs="Arial"/>
          <w:kern w:val="0"/>
        </w:rPr>
        <w:t xml:space="preserve"> </w:t>
      </w:r>
      <w:r>
        <w:rPr>
          <w:rFonts w:ascii="Arial" w:hAnsi="Arial" w:cs="Arial"/>
          <w:kern w:val="0"/>
        </w:rPr>
        <w:t>+0</w:t>
      </w:r>
      <w:r w:rsidRPr="00E01038">
        <w:rPr>
          <w:rFonts w:ascii="Arial" w:hAnsi="Arial" w:cs="Arial"/>
          <w:kern w:val="0"/>
        </w:rPr>
        <w:t>,</w:t>
      </w:r>
      <w:r>
        <w:rPr>
          <w:rFonts w:ascii="Arial" w:hAnsi="Arial" w:cs="Arial"/>
          <w:kern w:val="0"/>
        </w:rPr>
        <w:t>1</w:t>
      </w:r>
      <w:r w:rsidRPr="00E01038">
        <w:rPr>
          <w:rFonts w:ascii="Arial" w:hAnsi="Arial" w:cs="Arial"/>
          <w:kern w:val="0"/>
        </w:rPr>
        <w:t xml:space="preserve">% </w:t>
      </w:r>
      <w:r>
        <w:rPr>
          <w:rFonts w:ascii="Arial" w:hAnsi="Arial" w:cs="Arial"/>
          <w:kern w:val="0"/>
        </w:rPr>
        <w:t>i</w:t>
      </w:r>
      <w:r w:rsidRPr="00E01038">
        <w:rPr>
          <w:rFonts w:ascii="Arial" w:hAnsi="Arial" w:cs="Arial"/>
          <w:kern w:val="0"/>
        </w:rPr>
        <w:t xml:space="preserve">l mese precedente). I prezzi dei prodotti </w:t>
      </w:r>
      <w:r>
        <w:rPr>
          <w:rFonts w:ascii="Arial" w:hAnsi="Arial" w:cs="Arial"/>
          <w:kern w:val="0"/>
        </w:rPr>
        <w:lastRenderedPageBreak/>
        <w:t xml:space="preserve">non </w:t>
      </w:r>
      <w:r w:rsidRPr="00E01038">
        <w:rPr>
          <w:rFonts w:ascii="Arial" w:hAnsi="Arial" w:cs="Arial"/>
          <w:kern w:val="0"/>
        </w:rPr>
        <w:t xml:space="preserve">lavorati, invece, </w:t>
      </w:r>
      <w:r>
        <w:rPr>
          <w:rFonts w:ascii="Arial" w:hAnsi="Arial" w:cs="Arial"/>
          <w:kern w:val="0"/>
        </w:rPr>
        <w:t>aumentano dello 0,2%</w:t>
      </w:r>
      <w:r w:rsidRPr="00E01038">
        <w:rPr>
          <w:rFonts w:ascii="Arial" w:hAnsi="Arial" w:cs="Arial"/>
          <w:kern w:val="0"/>
        </w:rPr>
        <w:t xml:space="preserve"> </w:t>
      </w:r>
      <w:r>
        <w:rPr>
          <w:rFonts w:ascii="Arial" w:hAnsi="Arial" w:cs="Arial"/>
          <w:kern w:val="0"/>
        </w:rPr>
        <w:t>rispetto a maggio 2016</w:t>
      </w:r>
      <w:r w:rsidRPr="00E01038">
        <w:rPr>
          <w:rFonts w:ascii="Arial" w:hAnsi="Arial" w:cs="Arial"/>
          <w:kern w:val="0"/>
        </w:rPr>
        <w:t xml:space="preserve"> e mostrano in termini tendenziali un</w:t>
      </w:r>
      <w:r>
        <w:rPr>
          <w:rFonts w:ascii="Arial" w:hAnsi="Arial" w:cs="Arial"/>
          <w:kern w:val="0"/>
        </w:rPr>
        <w:t>a lieve accelerazione della</w:t>
      </w:r>
      <w:r w:rsidRPr="00E01038">
        <w:rPr>
          <w:rFonts w:ascii="Arial" w:hAnsi="Arial" w:cs="Arial"/>
          <w:kern w:val="0"/>
        </w:rPr>
        <w:t xml:space="preserve"> crescita </w:t>
      </w:r>
      <w:r>
        <w:rPr>
          <w:rFonts w:ascii="Arial" w:hAnsi="Arial" w:cs="Arial"/>
          <w:kern w:val="0"/>
        </w:rPr>
        <w:t>(</w:t>
      </w:r>
      <w:r w:rsidRPr="00E01038">
        <w:rPr>
          <w:rFonts w:ascii="Arial" w:hAnsi="Arial" w:cs="Arial"/>
          <w:kern w:val="0"/>
        </w:rPr>
        <w:t>+0,</w:t>
      </w:r>
      <w:r>
        <w:rPr>
          <w:rFonts w:ascii="Arial" w:hAnsi="Arial" w:cs="Arial"/>
          <w:kern w:val="0"/>
        </w:rPr>
        <w:t>5%, da +0,4% del mese precedente)</w:t>
      </w:r>
      <w:r w:rsidRPr="00E01038">
        <w:rPr>
          <w:rFonts w:ascii="Arial" w:hAnsi="Arial" w:cs="Arial"/>
          <w:kern w:val="0"/>
        </w:rPr>
        <w:t>.</w:t>
      </w:r>
    </w:p>
    <w:p w:rsidR="00A717D3" w:rsidRPr="00EA0885" w:rsidRDefault="00A717D3" w:rsidP="00852DFE">
      <w:pPr>
        <w:spacing w:before="120" w:after="80"/>
        <w:ind w:left="1814"/>
        <w:rPr>
          <w:rFonts w:ascii="Arial Narrow" w:hAnsi="Arial Narrow" w:cs="Arial"/>
          <w:sz w:val="19"/>
          <w:szCs w:val="19"/>
        </w:rPr>
      </w:pPr>
      <w:r w:rsidRPr="00EA0885">
        <w:rPr>
          <w:rFonts w:ascii="Arial Narrow" w:hAnsi="Arial Narrow" w:cs="Arial"/>
          <w:b/>
          <w:color w:val="5F5F5F"/>
        </w:rPr>
        <w:t xml:space="preserve">FIGURA </w:t>
      </w:r>
      <w:r w:rsidR="00275BF2">
        <w:rPr>
          <w:rFonts w:ascii="Arial Narrow" w:hAnsi="Arial Narrow" w:cs="Arial"/>
          <w:b/>
          <w:color w:val="5F5F5F"/>
        </w:rPr>
        <w:t>1</w:t>
      </w:r>
      <w:r w:rsidRPr="00EA0885">
        <w:rPr>
          <w:rFonts w:ascii="Arial Narrow" w:hAnsi="Arial Narrow" w:cs="Arial"/>
          <w:b/>
          <w:color w:val="5F5F5F"/>
        </w:rPr>
        <w:t>. INDICI DEI PREZZI AL CONSUMO NIC</w:t>
      </w:r>
      <w:r w:rsidRPr="00EA0885">
        <w:rPr>
          <w:rFonts w:ascii="Arial Narrow" w:hAnsi="Arial Narrow" w:cs="Arial"/>
          <w:b/>
          <w:color w:val="5F5F5F"/>
        </w:rPr>
        <w:br/>
      </w:r>
      <w:r w:rsidRPr="00794B7C">
        <w:rPr>
          <w:rFonts w:ascii="Arial Narrow" w:hAnsi="Arial Narrow" w:cs="Arial"/>
          <w:sz w:val="19"/>
          <w:szCs w:val="19"/>
        </w:rPr>
        <w:t>Variazioni percentuali rispetto allo stesso mese dell’anno precedente</w:t>
      </w:r>
    </w:p>
    <w:p w:rsidR="00111B8E" w:rsidRDefault="006E7FA7" w:rsidP="00852DFE">
      <w:pPr>
        <w:spacing w:before="120" w:after="0"/>
        <w:ind w:left="1814"/>
        <w:jc w:val="both"/>
        <w:rPr>
          <w:rFonts w:ascii="Arial Narrow" w:hAnsi="Arial Narrow" w:cs="Arial"/>
          <w:b/>
          <w:color w:val="5F5F5F"/>
        </w:rPr>
      </w:pPr>
      <w:r>
        <w:rPr>
          <w:rFonts w:ascii="Arial Narrow" w:hAnsi="Arial Narrow" w:cs="Arial"/>
          <w:b/>
          <w:noProof/>
          <w:color w:val="5F5F5F"/>
          <w:sz w:val="16"/>
          <w:szCs w:val="16"/>
        </w:rPr>
        <w:fldChar w:fldCharType="begin"/>
      </w:r>
      <w:r>
        <w:rPr>
          <w:rFonts w:ascii="Arial Narrow" w:hAnsi="Arial Narrow" w:cs="Arial"/>
          <w:b/>
          <w:noProof/>
          <w:color w:val="5F5F5F"/>
          <w:sz w:val="16"/>
          <w:szCs w:val="16"/>
        </w:rPr>
        <w:instrText xml:space="preserve"> LINK Excel.Sheet.12 "\\\\nas-balbo\\TICINO55\\Consumo4\\Diffusione\\comunica\\anno 2016\\04Aprile\\provvisorio\\IPC_grafici_comunicato.xlsx!Figura_1(provv)-Figura_4(def)![IPC_grafici_comunicato.xlsx]Figura_1(provv)-Figura_4(def) Chart 1-1" "" \a \p </w:instrText>
      </w:r>
      <w:r>
        <w:rPr>
          <w:rFonts w:ascii="Arial Narrow" w:hAnsi="Arial Narrow" w:cs="Arial"/>
          <w:b/>
          <w:noProof/>
          <w:color w:val="5F5F5F"/>
          <w:sz w:val="16"/>
          <w:szCs w:val="16"/>
        </w:rPr>
        <w:fldChar w:fldCharType="separate"/>
      </w:r>
      <w:r w:rsidR="005E1C51">
        <w:rPr>
          <w:rFonts w:ascii="Arial Narrow" w:hAnsi="Arial Narrow" w:cs="Arial"/>
          <w:b/>
          <w:noProof/>
          <w:color w:val="5F5F5F"/>
          <w:sz w:val="16"/>
          <w:szCs w:val="16"/>
        </w:rPr>
        <w:object w:dxaOrig="11687" w:dyaOrig="5514">
          <v:shape id="_x0000_i1027" type="#_x0000_t75" style="width:438.25pt;height:207.25pt" o:bordertopcolor="this" o:borderbottomcolor="this">
            <v:imagedata r:id="rId55" o:title=""/>
            <w10:bordertop type="single" width="4"/>
            <w10:borderbottom type="single" width="4"/>
          </v:shape>
        </w:object>
      </w:r>
      <w:r>
        <w:rPr>
          <w:rFonts w:ascii="Arial Narrow" w:hAnsi="Arial Narrow" w:cs="Arial"/>
          <w:b/>
          <w:noProof/>
          <w:color w:val="5F5F5F"/>
          <w:sz w:val="16"/>
          <w:szCs w:val="16"/>
        </w:rPr>
        <w:fldChar w:fldCharType="end"/>
      </w:r>
    </w:p>
    <w:p w:rsidR="000F4D00" w:rsidRDefault="000F4D00" w:rsidP="00852DFE">
      <w:pPr>
        <w:spacing w:before="0" w:after="60"/>
        <w:ind w:left="1814"/>
        <w:jc w:val="both"/>
        <w:rPr>
          <w:rFonts w:ascii="Arial Narrow" w:hAnsi="Arial Narrow" w:cs="Arial"/>
          <w:sz w:val="19"/>
          <w:szCs w:val="19"/>
        </w:rPr>
      </w:pPr>
      <w:r w:rsidRPr="00EA0885">
        <w:rPr>
          <w:rFonts w:ascii="Arial Narrow" w:hAnsi="Arial Narrow" w:cs="Arial"/>
          <w:b/>
          <w:color w:val="5F5F5F"/>
        </w:rPr>
        <w:t>PROSPETTO 2. INDICE DEI PREZZI AL CONSUMO NIC, PER TIPOLOGIA DI PRODOTTO</w:t>
      </w:r>
      <w:r w:rsidRPr="00EA0885">
        <w:rPr>
          <w:rFonts w:ascii="Arial Narrow" w:hAnsi="Arial Narrow" w:cs="Arial"/>
          <w:b/>
          <w:color w:val="5F5F5F"/>
        </w:rPr>
        <w:br/>
      </w:r>
      <w:r w:rsidR="007C6923">
        <w:rPr>
          <w:rFonts w:ascii="Arial Narrow" w:hAnsi="Arial Narrow" w:cs="Arial"/>
          <w:sz w:val="19"/>
          <w:szCs w:val="19"/>
        </w:rPr>
        <w:t>Giugno</w:t>
      </w:r>
      <w:r>
        <w:rPr>
          <w:rFonts w:ascii="Arial Narrow" w:hAnsi="Arial Narrow" w:cs="Arial"/>
          <w:sz w:val="19"/>
          <w:szCs w:val="19"/>
        </w:rPr>
        <w:t xml:space="preserve"> 2</w:t>
      </w:r>
      <w:r w:rsidRPr="00EA0885">
        <w:rPr>
          <w:rFonts w:ascii="Arial Narrow" w:hAnsi="Arial Narrow" w:cs="Arial"/>
          <w:sz w:val="19"/>
          <w:szCs w:val="19"/>
        </w:rPr>
        <w:t>01</w:t>
      </w:r>
      <w:r w:rsidR="00F33AFF">
        <w:rPr>
          <w:rFonts w:ascii="Arial Narrow" w:hAnsi="Arial Narrow" w:cs="Arial"/>
          <w:sz w:val="19"/>
          <w:szCs w:val="19"/>
        </w:rPr>
        <w:t>6</w:t>
      </w:r>
      <w:r w:rsidRPr="00EA0885">
        <w:rPr>
          <w:rFonts w:ascii="Arial Narrow" w:hAnsi="Arial Narrow" w:cs="Arial"/>
          <w:sz w:val="19"/>
          <w:szCs w:val="19"/>
        </w:rPr>
        <w:t>, pesi e variazioni</w:t>
      </w:r>
      <w:r>
        <w:rPr>
          <w:rFonts w:ascii="Arial Narrow" w:hAnsi="Arial Narrow" w:cs="Arial"/>
          <w:sz w:val="19"/>
          <w:szCs w:val="19"/>
        </w:rPr>
        <w:t xml:space="preserve"> percentuali (base 201</w:t>
      </w:r>
      <w:r w:rsidR="009B104A">
        <w:rPr>
          <w:rFonts w:ascii="Arial Narrow" w:hAnsi="Arial Narrow" w:cs="Arial"/>
          <w:sz w:val="19"/>
          <w:szCs w:val="19"/>
        </w:rPr>
        <w:t>5</w:t>
      </w:r>
      <w:r>
        <w:rPr>
          <w:rFonts w:ascii="Arial Narrow" w:hAnsi="Arial Narrow" w:cs="Arial"/>
          <w:sz w:val="19"/>
          <w:szCs w:val="19"/>
        </w:rPr>
        <w:t>=100)</w:t>
      </w:r>
      <w:r w:rsidR="0091710B">
        <w:rPr>
          <w:rFonts w:ascii="Arial Narrow" w:hAnsi="Arial Narrow" w:cs="Arial"/>
          <w:sz w:val="19"/>
          <w:szCs w:val="19"/>
        </w:rPr>
        <w:t xml:space="preserve"> </w:t>
      </w:r>
      <w:r w:rsidR="002A6DAE" w:rsidRPr="008D669E">
        <w:rPr>
          <w:rFonts w:ascii="Arial Narrow" w:hAnsi="Arial Narrow" w:cs="Arial"/>
          <w:sz w:val="19"/>
          <w:szCs w:val="19"/>
        </w:rPr>
        <w:t>(a)</w:t>
      </w:r>
    </w:p>
    <w:tbl>
      <w:tblPr>
        <w:tblW w:w="8789" w:type="dxa"/>
        <w:tblInd w:w="1913" w:type="dxa"/>
        <w:tblBorders>
          <w:top w:val="single" w:sz="4" w:space="0" w:color="808080"/>
          <w:bottom w:val="single" w:sz="4" w:space="0" w:color="808080"/>
          <w:insideH w:val="single" w:sz="4" w:space="0" w:color="808080"/>
        </w:tblBorders>
        <w:tblLayout w:type="fixed"/>
        <w:tblCellMar>
          <w:left w:w="70" w:type="dxa"/>
          <w:right w:w="0" w:type="dxa"/>
        </w:tblCellMar>
        <w:tblLook w:val="0400" w:firstRow="0" w:lastRow="0" w:firstColumn="0" w:lastColumn="0" w:noHBand="0" w:noVBand="1"/>
      </w:tblPr>
      <w:tblGrid>
        <w:gridCol w:w="3814"/>
        <w:gridCol w:w="954"/>
        <w:gridCol w:w="762"/>
        <w:gridCol w:w="773"/>
        <w:gridCol w:w="773"/>
        <w:gridCol w:w="770"/>
        <w:gridCol w:w="943"/>
      </w:tblGrid>
      <w:tr w:rsidR="004C2506" w:rsidRPr="00EA0885" w:rsidTr="0095773C">
        <w:trPr>
          <w:cantSplit/>
          <w:trHeight w:val="113"/>
          <w:tblHeader/>
        </w:trPr>
        <w:tc>
          <w:tcPr>
            <w:tcW w:w="3814" w:type="dxa"/>
            <w:vMerge w:val="restart"/>
            <w:vAlign w:val="center"/>
          </w:tcPr>
          <w:p w:rsidR="004C2506" w:rsidRPr="00EA0885" w:rsidRDefault="004C2506" w:rsidP="007D58AA">
            <w:pPr>
              <w:spacing w:before="40" w:after="20"/>
              <w:ind w:left="-68"/>
              <w:rPr>
                <w:rFonts w:ascii="Arial Narrow" w:hAnsi="Arial Narrow" w:cs="Arial"/>
                <w:b/>
                <w:bCs/>
                <w:sz w:val="18"/>
                <w:szCs w:val="18"/>
              </w:rPr>
            </w:pPr>
            <w:r w:rsidRPr="00EA0885">
              <w:rPr>
                <w:rFonts w:ascii="Arial Narrow" w:hAnsi="Arial Narrow" w:cs="Arial"/>
                <w:b/>
                <w:bCs/>
                <w:sz w:val="18"/>
                <w:szCs w:val="18"/>
              </w:rPr>
              <w:t>Tipologie di prodotto</w:t>
            </w:r>
          </w:p>
        </w:tc>
        <w:tc>
          <w:tcPr>
            <w:tcW w:w="954" w:type="dxa"/>
            <w:vMerge w:val="restart"/>
            <w:shd w:val="clear" w:color="auto" w:fill="E6E6E6"/>
            <w:vAlign w:val="center"/>
          </w:tcPr>
          <w:p w:rsidR="004C2506" w:rsidRPr="00EA0885" w:rsidRDefault="004C2506" w:rsidP="006E6607">
            <w:pPr>
              <w:spacing w:before="40" w:after="20"/>
              <w:jc w:val="center"/>
              <w:rPr>
                <w:rFonts w:ascii="Arial Narrow" w:hAnsi="Arial Narrow" w:cs="Arial"/>
                <w:b/>
                <w:bCs/>
                <w:sz w:val="18"/>
                <w:szCs w:val="18"/>
              </w:rPr>
            </w:pPr>
            <w:r w:rsidRPr="00EA0885">
              <w:rPr>
                <w:rFonts w:ascii="Arial Narrow" w:hAnsi="Arial Narrow" w:cs="Arial"/>
                <w:b/>
                <w:bCs/>
                <w:sz w:val="18"/>
                <w:szCs w:val="18"/>
              </w:rPr>
              <w:t>Pesi</w:t>
            </w:r>
          </w:p>
        </w:tc>
        <w:tc>
          <w:tcPr>
            <w:tcW w:w="762"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773"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773"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mag-16</w:t>
            </w:r>
          </w:p>
        </w:tc>
        <w:tc>
          <w:tcPr>
            <w:tcW w:w="770"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Pr="007E6455">
              <w:rPr>
                <w:rFonts w:ascii="Arial Narrow" w:hAnsi="Arial Narrow" w:cs="Arial"/>
                <w:b/>
                <w:bCs/>
                <w:snapToGrid w:val="0"/>
                <w:kern w:val="0"/>
                <w:sz w:val="18"/>
                <w:szCs w:val="18"/>
                <w:u w:val="single"/>
              </w:rPr>
              <w:t>-1</w:t>
            </w:r>
            <w:r>
              <w:rPr>
                <w:rFonts w:ascii="Arial Narrow" w:hAnsi="Arial Narrow" w:cs="Arial"/>
                <w:b/>
                <w:bCs/>
                <w:snapToGrid w:val="0"/>
                <w:kern w:val="0"/>
                <w:sz w:val="18"/>
                <w:szCs w:val="18"/>
                <w:u w:val="single"/>
              </w:rPr>
              <w:t>5</w:t>
            </w:r>
          </w:p>
        </w:tc>
        <w:tc>
          <w:tcPr>
            <w:tcW w:w="943" w:type="dxa"/>
            <w:tcBorders>
              <w:bottom w:val="nil"/>
            </w:tcBorders>
            <w:shd w:val="clear" w:color="auto" w:fill="E6E6E6"/>
            <w:vAlign w:val="center"/>
          </w:tcPr>
          <w:p w:rsidR="004C2506" w:rsidRPr="00BF3E3B" w:rsidRDefault="004C2506" w:rsidP="00F56A0A">
            <w:pPr>
              <w:spacing w:before="40" w:after="0"/>
              <w:jc w:val="center"/>
              <w:rPr>
                <w:rFonts w:ascii="Arial Narrow" w:hAnsi="Arial Narrow" w:cs="Arial"/>
                <w:b/>
                <w:bCs/>
                <w:sz w:val="18"/>
                <w:szCs w:val="18"/>
              </w:rPr>
            </w:pPr>
            <w:r>
              <w:rPr>
                <w:rFonts w:ascii="Arial Narrow" w:hAnsi="Arial Narrow" w:cs="Arial"/>
                <w:b/>
                <w:bCs/>
                <w:snapToGrid w:val="0"/>
                <w:sz w:val="18"/>
                <w:szCs w:val="18"/>
              </w:rPr>
              <w:t>Inflazione</w:t>
            </w:r>
          </w:p>
        </w:tc>
      </w:tr>
      <w:tr w:rsidR="004C2506" w:rsidRPr="00EA0885" w:rsidTr="0095773C">
        <w:trPr>
          <w:trHeight w:val="113"/>
          <w:tblHeader/>
        </w:trPr>
        <w:tc>
          <w:tcPr>
            <w:tcW w:w="3814" w:type="dxa"/>
            <w:vMerge/>
            <w:vAlign w:val="center"/>
          </w:tcPr>
          <w:p w:rsidR="004C2506" w:rsidRPr="00EA0885" w:rsidRDefault="004C2506" w:rsidP="006E6607">
            <w:pPr>
              <w:spacing w:before="40" w:after="20"/>
              <w:rPr>
                <w:rFonts w:ascii="Arial Narrow" w:hAnsi="Arial Narrow" w:cs="Arial"/>
                <w:b/>
                <w:bCs/>
                <w:sz w:val="18"/>
                <w:szCs w:val="18"/>
              </w:rPr>
            </w:pPr>
          </w:p>
        </w:tc>
        <w:tc>
          <w:tcPr>
            <w:tcW w:w="954" w:type="dxa"/>
            <w:vMerge/>
            <w:shd w:val="clear" w:color="auto" w:fill="E6E6E6"/>
            <w:vAlign w:val="center"/>
          </w:tcPr>
          <w:p w:rsidR="004C2506" w:rsidRPr="00EA0885" w:rsidRDefault="004C2506" w:rsidP="000E78BC">
            <w:pPr>
              <w:spacing w:before="40" w:after="20"/>
              <w:rPr>
                <w:rFonts w:ascii="Arial Narrow" w:hAnsi="Arial Narrow" w:cs="Arial"/>
                <w:b/>
                <w:bCs/>
                <w:sz w:val="18"/>
                <w:szCs w:val="18"/>
              </w:rPr>
            </w:pPr>
          </w:p>
        </w:tc>
        <w:tc>
          <w:tcPr>
            <w:tcW w:w="762"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6</w:t>
            </w:r>
          </w:p>
        </w:tc>
        <w:tc>
          <w:tcPr>
            <w:tcW w:w="773"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giu-15</w:t>
            </w:r>
          </w:p>
        </w:tc>
        <w:tc>
          <w:tcPr>
            <w:tcW w:w="773"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mag-15</w:t>
            </w:r>
          </w:p>
        </w:tc>
        <w:tc>
          <w:tcPr>
            <w:tcW w:w="770"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5</w:t>
            </w:r>
          </w:p>
        </w:tc>
        <w:tc>
          <w:tcPr>
            <w:tcW w:w="943" w:type="dxa"/>
            <w:tcBorders>
              <w:top w:val="nil"/>
            </w:tcBorders>
            <w:shd w:val="clear" w:color="auto" w:fill="E6E6E6"/>
          </w:tcPr>
          <w:p w:rsidR="004C2506" w:rsidRPr="00BF3E3B" w:rsidRDefault="004C2506" w:rsidP="00F56A0A">
            <w:pPr>
              <w:spacing w:before="0" w:after="20"/>
              <w:jc w:val="center"/>
              <w:rPr>
                <w:rFonts w:ascii="Arial Narrow" w:hAnsi="Arial Narrow" w:cs="Arial"/>
                <w:b/>
                <w:bCs/>
                <w:sz w:val="18"/>
                <w:szCs w:val="18"/>
              </w:rPr>
            </w:pPr>
            <w:r>
              <w:rPr>
                <w:rFonts w:ascii="Arial Narrow" w:hAnsi="Arial Narrow" w:cs="Arial"/>
                <w:b/>
                <w:bCs/>
                <w:snapToGrid w:val="0"/>
                <w:sz w:val="18"/>
                <w:szCs w:val="18"/>
              </w:rPr>
              <w:t>acquisita</w:t>
            </w:r>
          </w:p>
        </w:tc>
      </w:tr>
      <w:tr w:rsidR="004E2C7B" w:rsidRPr="00D1595F" w:rsidTr="004E2C7B">
        <w:trPr>
          <w:trHeight w:hRule="exact" w:val="283"/>
          <w:tblHeader/>
        </w:trPr>
        <w:tc>
          <w:tcPr>
            <w:tcW w:w="3814" w:type="dxa"/>
            <w:vAlign w:val="center"/>
          </w:tcPr>
          <w:p w:rsidR="004E2C7B" w:rsidRPr="00EA0885" w:rsidRDefault="004E2C7B" w:rsidP="008A5ABA">
            <w:pPr>
              <w:spacing w:before="40" w:after="20"/>
              <w:ind w:left="-68"/>
              <w:rPr>
                <w:rFonts w:ascii="Arial Narrow" w:hAnsi="Arial Narrow" w:cs="Arial"/>
                <w:sz w:val="18"/>
                <w:szCs w:val="18"/>
              </w:rPr>
            </w:pPr>
            <w:r w:rsidRPr="00EA0885">
              <w:rPr>
                <w:rFonts w:ascii="Arial Narrow" w:hAnsi="Arial Narrow" w:cs="Arial"/>
                <w:sz w:val="18"/>
                <w:szCs w:val="18"/>
              </w:rPr>
              <w:t>Beni alimentari, di cui:</w:t>
            </w:r>
          </w:p>
        </w:tc>
        <w:tc>
          <w:tcPr>
            <w:tcW w:w="954" w:type="dxa"/>
            <w:shd w:val="clear" w:color="auto" w:fill="E6E6E6"/>
            <w:vAlign w:val="center"/>
          </w:tcPr>
          <w:p w:rsidR="004E2C7B" w:rsidRPr="001760EB" w:rsidRDefault="004E2C7B" w:rsidP="003F614A">
            <w:pPr>
              <w:spacing w:before="40" w:after="20"/>
              <w:ind w:right="170"/>
              <w:jc w:val="right"/>
              <w:rPr>
                <w:rFonts w:ascii="Arial Narrow" w:hAnsi="Arial Narrow" w:cs="Arial"/>
                <w:sz w:val="18"/>
                <w:szCs w:val="18"/>
              </w:rPr>
            </w:pPr>
            <w:r>
              <w:rPr>
                <w:rFonts w:ascii="Arial Narrow" w:hAnsi="Arial Narrow" w:cs="Arial"/>
                <w:noProof/>
                <w:sz w:val="18"/>
                <w:szCs w:val="18"/>
              </w:rPr>
              <w:t>176.293</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firstLine="214"/>
              <w:rPr>
                <w:rFonts w:ascii="Arial Narrow" w:hAnsi="Arial Narrow" w:cs="Arial"/>
                <w:sz w:val="18"/>
                <w:szCs w:val="18"/>
              </w:rPr>
            </w:pPr>
            <w:r>
              <w:rPr>
                <w:rFonts w:ascii="Arial Narrow" w:hAnsi="Arial Narrow" w:cs="Arial"/>
                <w:sz w:val="18"/>
                <w:szCs w:val="18"/>
              </w:rPr>
              <w:t>A</w:t>
            </w:r>
            <w:r w:rsidRPr="00EA0885">
              <w:rPr>
                <w:rFonts w:ascii="Arial Narrow" w:hAnsi="Arial Narrow" w:cs="Arial"/>
                <w:sz w:val="18"/>
                <w:szCs w:val="18"/>
              </w:rPr>
              <w:t>limentari lavorati</w:t>
            </w:r>
          </w:p>
        </w:tc>
        <w:tc>
          <w:tcPr>
            <w:tcW w:w="954" w:type="dxa"/>
            <w:shd w:val="clear" w:color="auto" w:fill="E6E6E6"/>
            <w:vAlign w:val="center"/>
          </w:tcPr>
          <w:p w:rsidR="004E2C7B" w:rsidRPr="001760EB" w:rsidRDefault="004E2C7B" w:rsidP="00933D70">
            <w:pPr>
              <w:spacing w:before="40" w:after="20"/>
              <w:ind w:right="170"/>
              <w:jc w:val="right"/>
              <w:rPr>
                <w:rFonts w:ascii="Arial Narrow" w:hAnsi="Arial Narrow" w:cs="Arial"/>
                <w:sz w:val="18"/>
                <w:szCs w:val="18"/>
              </w:rPr>
            </w:pPr>
            <w:r w:rsidRPr="001760EB">
              <w:rPr>
                <w:rFonts w:ascii="Arial Narrow" w:hAnsi="Arial Narrow" w:cs="Arial"/>
                <w:sz w:val="18"/>
                <w:szCs w:val="18"/>
              </w:rPr>
              <w:t>10</w:t>
            </w:r>
            <w:r>
              <w:rPr>
                <w:rFonts w:ascii="Arial Narrow" w:hAnsi="Arial Narrow" w:cs="Arial"/>
                <w:sz w:val="18"/>
                <w:szCs w:val="18"/>
              </w:rPr>
              <w:t>5</w:t>
            </w:r>
            <w:r w:rsidRPr="001760EB">
              <w:rPr>
                <w:rFonts w:ascii="Arial Narrow" w:hAnsi="Arial Narrow" w:cs="Arial"/>
                <w:sz w:val="18"/>
                <w:szCs w:val="18"/>
              </w:rPr>
              <w:t>.</w:t>
            </w:r>
            <w:r>
              <w:rPr>
                <w:rFonts w:ascii="Arial Narrow" w:hAnsi="Arial Narrow" w:cs="Arial"/>
                <w:sz w:val="18"/>
                <w:szCs w:val="18"/>
              </w:rPr>
              <w:t>400</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firstLine="214"/>
              <w:rPr>
                <w:rFonts w:ascii="Arial Narrow" w:hAnsi="Arial Narrow" w:cs="Arial"/>
                <w:sz w:val="18"/>
                <w:szCs w:val="18"/>
              </w:rPr>
            </w:pPr>
            <w:r>
              <w:rPr>
                <w:rFonts w:ascii="Arial Narrow" w:hAnsi="Arial Narrow" w:cs="Arial"/>
                <w:sz w:val="18"/>
                <w:szCs w:val="18"/>
              </w:rPr>
              <w:t>A</w:t>
            </w:r>
            <w:r w:rsidRPr="00EA0885">
              <w:rPr>
                <w:rFonts w:ascii="Arial Narrow" w:hAnsi="Arial Narrow" w:cs="Arial"/>
                <w:sz w:val="18"/>
                <w:szCs w:val="18"/>
              </w:rPr>
              <w:t>limentari non lavorati</w:t>
            </w:r>
          </w:p>
        </w:tc>
        <w:tc>
          <w:tcPr>
            <w:tcW w:w="954" w:type="dxa"/>
            <w:shd w:val="clear" w:color="auto" w:fill="E6E6E6"/>
            <w:vAlign w:val="center"/>
          </w:tcPr>
          <w:p w:rsidR="004E2C7B" w:rsidRPr="001760EB" w:rsidRDefault="004E2C7B" w:rsidP="00933D70">
            <w:pPr>
              <w:spacing w:before="40" w:after="20"/>
              <w:ind w:right="170"/>
              <w:jc w:val="right"/>
              <w:rPr>
                <w:rFonts w:ascii="Arial Narrow" w:hAnsi="Arial Narrow" w:cs="Arial"/>
                <w:sz w:val="18"/>
                <w:szCs w:val="18"/>
              </w:rPr>
            </w:pPr>
            <w:r>
              <w:rPr>
                <w:rFonts w:ascii="Arial Narrow" w:hAnsi="Arial Narrow" w:cs="Arial"/>
                <w:sz w:val="18"/>
                <w:szCs w:val="18"/>
              </w:rPr>
              <w:t>70</w:t>
            </w:r>
            <w:r w:rsidRPr="001760EB">
              <w:rPr>
                <w:rFonts w:ascii="Arial Narrow" w:hAnsi="Arial Narrow" w:cs="Arial"/>
                <w:sz w:val="18"/>
                <w:szCs w:val="18"/>
              </w:rPr>
              <w:t>.</w:t>
            </w:r>
            <w:r>
              <w:rPr>
                <w:rFonts w:ascii="Arial Narrow" w:hAnsi="Arial Narrow" w:cs="Arial"/>
                <w:sz w:val="18"/>
                <w:szCs w:val="18"/>
              </w:rPr>
              <w:t>893</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0,6</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left="-68"/>
              <w:rPr>
                <w:rFonts w:ascii="Arial Narrow" w:hAnsi="Arial Narrow" w:cs="Arial"/>
                <w:sz w:val="18"/>
                <w:szCs w:val="18"/>
              </w:rPr>
            </w:pPr>
            <w:r w:rsidRPr="00EA0885">
              <w:rPr>
                <w:rFonts w:ascii="Arial Narrow" w:hAnsi="Arial Narrow" w:cs="Arial"/>
                <w:sz w:val="18"/>
                <w:szCs w:val="18"/>
              </w:rPr>
              <w:t>Beni energetici, di cui:</w:t>
            </w:r>
          </w:p>
        </w:tc>
        <w:tc>
          <w:tcPr>
            <w:tcW w:w="954" w:type="dxa"/>
            <w:shd w:val="clear" w:color="auto" w:fill="E6E6E6"/>
            <w:vAlign w:val="center"/>
          </w:tcPr>
          <w:p w:rsidR="004E2C7B" w:rsidRPr="001760EB" w:rsidRDefault="004E2C7B" w:rsidP="008500B0">
            <w:pPr>
              <w:spacing w:before="40" w:after="20"/>
              <w:ind w:right="170"/>
              <w:jc w:val="right"/>
              <w:rPr>
                <w:rFonts w:ascii="Arial Narrow" w:hAnsi="Arial Narrow" w:cs="Arial"/>
                <w:sz w:val="18"/>
                <w:szCs w:val="18"/>
              </w:rPr>
            </w:pPr>
            <w:r>
              <w:rPr>
                <w:rFonts w:ascii="Arial Narrow" w:hAnsi="Arial Narrow" w:cs="Arial"/>
                <w:sz w:val="18"/>
                <w:szCs w:val="18"/>
              </w:rPr>
              <w:t>89</w:t>
            </w:r>
            <w:r w:rsidRPr="001760EB">
              <w:rPr>
                <w:rFonts w:ascii="Arial Narrow" w:hAnsi="Arial Narrow" w:cs="Arial"/>
                <w:sz w:val="18"/>
                <w:szCs w:val="18"/>
              </w:rPr>
              <w:t>.</w:t>
            </w:r>
            <w:r>
              <w:rPr>
                <w:rFonts w:ascii="Arial Narrow" w:hAnsi="Arial Narrow" w:cs="Arial"/>
                <w:sz w:val="18"/>
                <w:szCs w:val="18"/>
              </w:rPr>
              <w:t>593</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1,1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-7,5</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-8,4</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-6,0</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firstLine="214"/>
              <w:rPr>
                <w:rFonts w:ascii="Arial Narrow" w:hAnsi="Arial Narrow" w:cs="Arial"/>
                <w:sz w:val="18"/>
                <w:szCs w:val="18"/>
              </w:rPr>
            </w:pPr>
            <w:r w:rsidRPr="00EA0885">
              <w:rPr>
                <w:rFonts w:ascii="Arial Narrow" w:hAnsi="Arial Narrow" w:cs="Arial"/>
                <w:sz w:val="18"/>
                <w:szCs w:val="18"/>
              </w:rPr>
              <w:t>Energetici regolamentati</w:t>
            </w:r>
          </w:p>
        </w:tc>
        <w:tc>
          <w:tcPr>
            <w:tcW w:w="954" w:type="dxa"/>
            <w:shd w:val="clear" w:color="auto" w:fill="E6E6E6"/>
            <w:vAlign w:val="center"/>
          </w:tcPr>
          <w:p w:rsidR="004E2C7B" w:rsidRPr="001760EB" w:rsidRDefault="004E2C7B" w:rsidP="008500B0">
            <w:pPr>
              <w:spacing w:before="40" w:after="20"/>
              <w:ind w:right="170"/>
              <w:jc w:val="right"/>
              <w:rPr>
                <w:rFonts w:ascii="Arial Narrow" w:hAnsi="Arial Narrow" w:cs="Arial"/>
                <w:sz w:val="18"/>
                <w:szCs w:val="18"/>
              </w:rPr>
            </w:pPr>
            <w:r w:rsidRPr="001760EB">
              <w:rPr>
                <w:rFonts w:ascii="Arial Narrow" w:hAnsi="Arial Narrow" w:cs="Arial"/>
                <w:sz w:val="18"/>
                <w:szCs w:val="18"/>
              </w:rPr>
              <w:t>46.</w:t>
            </w:r>
            <w:r>
              <w:rPr>
                <w:rFonts w:ascii="Arial Narrow" w:hAnsi="Arial Narrow" w:cs="Arial"/>
                <w:sz w:val="18"/>
                <w:szCs w:val="18"/>
              </w:rPr>
              <w:t>894</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-6,8</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-6,7</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-5,9</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firstLine="214"/>
              <w:rPr>
                <w:rFonts w:ascii="Arial Narrow" w:hAnsi="Arial Narrow" w:cs="Arial"/>
                <w:sz w:val="18"/>
                <w:szCs w:val="18"/>
              </w:rPr>
            </w:pPr>
            <w:r w:rsidRPr="00EA0885">
              <w:rPr>
                <w:rFonts w:ascii="Arial Narrow" w:hAnsi="Arial Narrow" w:cs="Arial"/>
                <w:sz w:val="18"/>
                <w:szCs w:val="18"/>
              </w:rPr>
              <w:t>Energetici non regolamentati</w:t>
            </w:r>
          </w:p>
        </w:tc>
        <w:tc>
          <w:tcPr>
            <w:tcW w:w="954" w:type="dxa"/>
            <w:shd w:val="clear" w:color="auto" w:fill="E6E6E6"/>
            <w:vAlign w:val="center"/>
          </w:tcPr>
          <w:p w:rsidR="004E2C7B" w:rsidRPr="001760EB" w:rsidRDefault="004E2C7B" w:rsidP="008500B0">
            <w:pPr>
              <w:spacing w:before="40" w:after="20"/>
              <w:ind w:right="170"/>
              <w:jc w:val="right"/>
              <w:rPr>
                <w:rFonts w:ascii="Arial Narrow" w:hAnsi="Arial Narrow" w:cs="Arial"/>
                <w:sz w:val="18"/>
                <w:szCs w:val="18"/>
              </w:rPr>
            </w:pPr>
            <w:r w:rsidRPr="001760EB">
              <w:rPr>
                <w:rFonts w:ascii="Arial Narrow" w:hAnsi="Arial Narrow" w:cs="Arial"/>
                <w:sz w:val="18"/>
                <w:szCs w:val="18"/>
              </w:rPr>
              <w:t>4</w:t>
            </w:r>
            <w:r>
              <w:rPr>
                <w:rFonts w:ascii="Arial Narrow" w:hAnsi="Arial Narrow" w:cs="Arial"/>
                <w:sz w:val="18"/>
                <w:szCs w:val="18"/>
              </w:rPr>
              <w:t>2</w:t>
            </w:r>
            <w:r w:rsidRPr="001760EB">
              <w:rPr>
                <w:rFonts w:ascii="Arial Narrow" w:hAnsi="Arial Narrow" w:cs="Arial"/>
                <w:sz w:val="18"/>
                <w:szCs w:val="18"/>
              </w:rPr>
              <w:t>.</w:t>
            </w:r>
            <w:r>
              <w:rPr>
                <w:rFonts w:ascii="Arial Narrow" w:hAnsi="Arial Narrow" w:cs="Arial"/>
                <w:sz w:val="18"/>
                <w:szCs w:val="18"/>
              </w:rPr>
              <w:t>699</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2,1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-8,1</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-10,0</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-5,9</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left="-68"/>
              <w:rPr>
                <w:rFonts w:ascii="Arial Narrow" w:hAnsi="Arial Narrow" w:cs="Arial"/>
                <w:sz w:val="18"/>
                <w:szCs w:val="18"/>
              </w:rPr>
            </w:pPr>
            <w:r w:rsidRPr="00EA0885">
              <w:rPr>
                <w:rFonts w:ascii="Arial Narrow" w:hAnsi="Arial Narrow" w:cs="Arial"/>
                <w:sz w:val="18"/>
                <w:szCs w:val="18"/>
              </w:rPr>
              <w:t>Tabacchi</w:t>
            </w:r>
          </w:p>
        </w:tc>
        <w:tc>
          <w:tcPr>
            <w:tcW w:w="954" w:type="dxa"/>
            <w:shd w:val="clear" w:color="auto" w:fill="E6E6E6"/>
            <w:vAlign w:val="center"/>
          </w:tcPr>
          <w:p w:rsidR="004E2C7B" w:rsidRPr="001760EB" w:rsidRDefault="004E2C7B" w:rsidP="00C95F1E">
            <w:pPr>
              <w:spacing w:before="40" w:after="20"/>
              <w:ind w:right="170"/>
              <w:jc w:val="right"/>
              <w:rPr>
                <w:rFonts w:ascii="Arial Narrow" w:hAnsi="Arial Narrow" w:cs="Arial"/>
                <w:sz w:val="18"/>
                <w:szCs w:val="18"/>
              </w:rPr>
            </w:pPr>
            <w:r w:rsidRPr="001760EB">
              <w:rPr>
                <w:rFonts w:ascii="Arial Narrow" w:hAnsi="Arial Narrow" w:cs="Arial"/>
                <w:sz w:val="18"/>
                <w:szCs w:val="18"/>
              </w:rPr>
              <w:t>21.</w:t>
            </w:r>
            <w:r>
              <w:rPr>
                <w:rFonts w:ascii="Arial Narrow" w:hAnsi="Arial Narrow" w:cs="Arial"/>
                <w:sz w:val="18"/>
                <w:szCs w:val="18"/>
              </w:rPr>
              <w:t>910</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0,6</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2,9</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2,0</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2,1</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left="-68"/>
              <w:rPr>
                <w:rFonts w:ascii="Arial Narrow" w:hAnsi="Arial Narrow" w:cs="Arial"/>
                <w:sz w:val="18"/>
                <w:szCs w:val="18"/>
              </w:rPr>
            </w:pPr>
            <w:r w:rsidRPr="00EA0885">
              <w:rPr>
                <w:rFonts w:ascii="Arial Narrow" w:hAnsi="Arial Narrow" w:cs="Arial"/>
                <w:sz w:val="18"/>
                <w:szCs w:val="18"/>
              </w:rPr>
              <w:t>Altri beni, di cui:</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249</w:t>
            </w:r>
            <w:r w:rsidRPr="001760EB">
              <w:rPr>
                <w:rFonts w:ascii="Arial Narrow" w:hAnsi="Arial Narrow" w:cs="Arial"/>
                <w:sz w:val="18"/>
                <w:szCs w:val="18"/>
              </w:rPr>
              <w:t>.</w:t>
            </w:r>
            <w:r>
              <w:rPr>
                <w:rFonts w:ascii="Arial Narrow" w:hAnsi="Arial Narrow" w:cs="Arial"/>
                <w:sz w:val="18"/>
                <w:szCs w:val="18"/>
              </w:rPr>
              <w:t>402</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0,7</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r>
      <w:tr w:rsidR="004E2C7B" w:rsidRPr="00D1595F" w:rsidTr="004E2C7B">
        <w:trPr>
          <w:trHeight w:hRule="exact" w:val="283"/>
          <w:tblHeader/>
        </w:trPr>
        <w:tc>
          <w:tcPr>
            <w:tcW w:w="3814" w:type="dxa"/>
            <w:vAlign w:val="center"/>
          </w:tcPr>
          <w:p w:rsidR="004E2C7B" w:rsidRPr="00EA0885" w:rsidRDefault="004E2C7B" w:rsidP="00CD6427">
            <w:pPr>
              <w:spacing w:before="40" w:after="20"/>
              <w:ind w:firstLine="214"/>
              <w:rPr>
                <w:rFonts w:ascii="Arial Narrow" w:hAnsi="Arial Narrow" w:cs="Arial"/>
                <w:sz w:val="18"/>
                <w:szCs w:val="18"/>
              </w:rPr>
            </w:pPr>
            <w:r w:rsidRPr="00EA0885">
              <w:rPr>
                <w:rFonts w:ascii="Arial Narrow" w:hAnsi="Arial Narrow" w:cs="Arial"/>
                <w:sz w:val="18"/>
                <w:szCs w:val="18"/>
              </w:rPr>
              <w:t>Beni durevoli</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79</w:t>
            </w:r>
            <w:r w:rsidRPr="001760EB">
              <w:rPr>
                <w:rFonts w:ascii="Arial Narrow" w:hAnsi="Arial Narrow" w:cs="Arial"/>
                <w:sz w:val="18"/>
                <w:szCs w:val="18"/>
              </w:rPr>
              <w:t>.</w:t>
            </w:r>
            <w:r>
              <w:rPr>
                <w:rFonts w:ascii="Arial Narrow" w:hAnsi="Arial Narrow" w:cs="Arial"/>
                <w:sz w:val="18"/>
                <w:szCs w:val="18"/>
              </w:rPr>
              <w:t>828</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1,3</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1,7</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1,2</w:t>
            </w:r>
          </w:p>
        </w:tc>
      </w:tr>
      <w:tr w:rsidR="004E2C7B" w:rsidRPr="00D1595F" w:rsidTr="004E2C7B">
        <w:trPr>
          <w:trHeight w:hRule="exact" w:val="283"/>
          <w:tblHeader/>
        </w:trPr>
        <w:tc>
          <w:tcPr>
            <w:tcW w:w="3814" w:type="dxa"/>
            <w:vAlign w:val="center"/>
          </w:tcPr>
          <w:p w:rsidR="004E2C7B" w:rsidRPr="00EA0885" w:rsidRDefault="004E2C7B" w:rsidP="00A769AA">
            <w:pPr>
              <w:spacing w:before="40" w:after="20"/>
              <w:ind w:firstLine="214"/>
              <w:rPr>
                <w:rFonts w:ascii="Arial Narrow" w:hAnsi="Arial Narrow" w:cs="Arial"/>
                <w:sz w:val="18"/>
                <w:szCs w:val="18"/>
              </w:rPr>
            </w:pPr>
            <w:r w:rsidRPr="00EA0885">
              <w:rPr>
                <w:rFonts w:ascii="Arial Narrow" w:hAnsi="Arial Narrow" w:cs="Arial"/>
                <w:sz w:val="18"/>
                <w:szCs w:val="18"/>
              </w:rPr>
              <w:t>Beni non durevoli</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67</w:t>
            </w:r>
            <w:r w:rsidRPr="001760EB">
              <w:rPr>
                <w:rFonts w:ascii="Arial Narrow" w:hAnsi="Arial Narrow" w:cs="Arial"/>
                <w:sz w:val="18"/>
                <w:szCs w:val="18"/>
              </w:rPr>
              <w:t>.</w:t>
            </w:r>
            <w:r>
              <w:rPr>
                <w:rFonts w:ascii="Arial Narrow" w:hAnsi="Arial Narrow" w:cs="Arial"/>
                <w:sz w:val="18"/>
                <w:szCs w:val="18"/>
              </w:rPr>
              <w:t>677</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r>
      <w:tr w:rsidR="004E2C7B" w:rsidRPr="00D1595F" w:rsidTr="004E2C7B">
        <w:trPr>
          <w:trHeight w:hRule="exact" w:val="283"/>
          <w:tblHeader/>
        </w:trPr>
        <w:tc>
          <w:tcPr>
            <w:tcW w:w="3814" w:type="dxa"/>
            <w:vAlign w:val="center"/>
          </w:tcPr>
          <w:p w:rsidR="004E2C7B" w:rsidRPr="00EA0885" w:rsidRDefault="004E2C7B" w:rsidP="00A769AA">
            <w:pPr>
              <w:spacing w:before="40" w:after="20"/>
              <w:ind w:firstLine="214"/>
              <w:rPr>
                <w:rFonts w:ascii="Arial Narrow" w:hAnsi="Arial Narrow" w:cs="Arial"/>
                <w:sz w:val="18"/>
                <w:szCs w:val="18"/>
              </w:rPr>
            </w:pPr>
            <w:r w:rsidRPr="00EA0885">
              <w:rPr>
                <w:rFonts w:ascii="Arial Narrow" w:hAnsi="Arial Narrow" w:cs="Arial"/>
                <w:sz w:val="18"/>
                <w:szCs w:val="18"/>
              </w:rPr>
              <w:t>Beni semidurevoli</w:t>
            </w:r>
          </w:p>
        </w:tc>
        <w:tc>
          <w:tcPr>
            <w:tcW w:w="954" w:type="dxa"/>
            <w:shd w:val="clear" w:color="auto" w:fill="E6E6E6"/>
            <w:vAlign w:val="center"/>
          </w:tcPr>
          <w:p w:rsidR="004E2C7B" w:rsidRPr="001760EB" w:rsidRDefault="004E2C7B" w:rsidP="00CB1DBF">
            <w:pPr>
              <w:spacing w:before="40" w:after="20"/>
              <w:ind w:right="170"/>
              <w:jc w:val="right"/>
              <w:rPr>
                <w:rFonts w:ascii="Arial Narrow" w:hAnsi="Arial Narrow" w:cs="Arial"/>
                <w:sz w:val="18"/>
                <w:szCs w:val="18"/>
              </w:rPr>
            </w:pPr>
            <w:r w:rsidRPr="001760EB">
              <w:rPr>
                <w:rFonts w:ascii="Arial Narrow" w:hAnsi="Arial Narrow" w:cs="Arial"/>
                <w:sz w:val="18"/>
                <w:szCs w:val="18"/>
              </w:rPr>
              <w:t>10</w:t>
            </w:r>
            <w:r>
              <w:rPr>
                <w:rFonts w:ascii="Arial Narrow" w:hAnsi="Arial Narrow" w:cs="Arial"/>
                <w:sz w:val="18"/>
                <w:szCs w:val="18"/>
              </w:rPr>
              <w:t>1</w:t>
            </w:r>
            <w:r w:rsidRPr="001760EB">
              <w:rPr>
                <w:rFonts w:ascii="Arial Narrow" w:hAnsi="Arial Narrow" w:cs="Arial"/>
                <w:sz w:val="18"/>
                <w:szCs w:val="18"/>
              </w:rPr>
              <w:t>.</w:t>
            </w:r>
            <w:r>
              <w:rPr>
                <w:rFonts w:ascii="Arial Narrow" w:hAnsi="Arial Narrow" w:cs="Arial"/>
                <w:sz w:val="18"/>
                <w:szCs w:val="18"/>
              </w:rPr>
              <w:t>897</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r>
      <w:tr w:rsidR="004E2C7B" w:rsidRPr="000A1943" w:rsidTr="004E2C7B">
        <w:trPr>
          <w:trHeight w:hRule="exact" w:val="284"/>
          <w:tblHeader/>
        </w:trPr>
        <w:tc>
          <w:tcPr>
            <w:tcW w:w="3814" w:type="dxa"/>
            <w:shd w:val="clear" w:color="auto" w:fill="808080"/>
            <w:vAlign w:val="center"/>
          </w:tcPr>
          <w:p w:rsidR="004E2C7B" w:rsidRPr="00EA0885" w:rsidRDefault="004E2C7B" w:rsidP="006E6607">
            <w:pPr>
              <w:spacing w:before="40" w:after="20"/>
              <w:rPr>
                <w:rFonts w:ascii="Arial Narrow" w:hAnsi="Arial Narrow" w:cs="Arial"/>
                <w:b/>
                <w:color w:val="FFFFFF"/>
                <w:sz w:val="18"/>
                <w:szCs w:val="18"/>
              </w:rPr>
            </w:pPr>
            <w:r w:rsidRPr="00EA0885">
              <w:rPr>
                <w:rFonts w:ascii="Arial Narrow" w:hAnsi="Arial Narrow" w:cs="Arial"/>
                <w:b/>
                <w:color w:val="FFFFFF"/>
                <w:sz w:val="18"/>
                <w:szCs w:val="18"/>
              </w:rPr>
              <w:t>Beni</w:t>
            </w:r>
          </w:p>
        </w:tc>
        <w:tc>
          <w:tcPr>
            <w:tcW w:w="954" w:type="dxa"/>
            <w:shd w:val="clear" w:color="auto" w:fill="808080"/>
            <w:vAlign w:val="center"/>
          </w:tcPr>
          <w:p w:rsidR="004E2C7B" w:rsidRPr="001760EB" w:rsidRDefault="004E2C7B" w:rsidP="005452DD">
            <w:pPr>
              <w:spacing w:before="40" w:after="20"/>
              <w:ind w:right="170"/>
              <w:jc w:val="right"/>
              <w:rPr>
                <w:rFonts w:ascii="Arial Narrow" w:hAnsi="Arial Narrow" w:cs="Arial"/>
                <w:b/>
                <w:color w:val="FFFFFF" w:themeColor="background1"/>
                <w:sz w:val="18"/>
                <w:szCs w:val="18"/>
              </w:rPr>
            </w:pPr>
            <w:r>
              <w:rPr>
                <w:rFonts w:ascii="Arial Narrow" w:hAnsi="Arial Narrow" w:cs="Arial"/>
                <w:b/>
                <w:color w:val="FFFFFF" w:themeColor="background1"/>
                <w:sz w:val="18"/>
                <w:szCs w:val="18"/>
              </w:rPr>
              <w:t>537</w:t>
            </w:r>
            <w:r w:rsidRPr="001760EB">
              <w:rPr>
                <w:rFonts w:ascii="Arial Narrow" w:hAnsi="Arial Narrow" w:cs="Arial"/>
                <w:b/>
                <w:color w:val="FFFFFF" w:themeColor="background1"/>
                <w:sz w:val="18"/>
                <w:szCs w:val="18"/>
              </w:rPr>
              <w:t>.</w:t>
            </w:r>
            <w:r>
              <w:rPr>
                <w:rFonts w:ascii="Arial Narrow" w:hAnsi="Arial Narrow" w:cs="Arial"/>
                <w:b/>
                <w:color w:val="FFFFFF" w:themeColor="background1"/>
                <w:sz w:val="18"/>
                <w:szCs w:val="18"/>
              </w:rPr>
              <w:t>198</w:t>
            </w:r>
            <w:r w:rsidRPr="001760EB">
              <w:rPr>
                <w:rFonts w:ascii="Arial Narrow" w:hAnsi="Arial Narrow" w:cs="Arial"/>
                <w:b/>
                <w:color w:val="FFFFFF" w:themeColor="background1"/>
                <w:sz w:val="18"/>
                <w:szCs w:val="18"/>
              </w:rPr>
              <w:t xml:space="preserve"> </w:t>
            </w:r>
          </w:p>
        </w:tc>
        <w:tc>
          <w:tcPr>
            <w:tcW w:w="762" w:type="dxa"/>
            <w:shd w:val="clear" w:color="auto" w:fill="808080"/>
            <w:tcMar>
              <w:left w:w="142"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773" w:type="dxa"/>
            <w:shd w:val="clear" w:color="auto" w:fill="808080"/>
            <w:tcMar>
              <w:left w:w="85"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-0,9</w:t>
            </w:r>
          </w:p>
        </w:tc>
        <w:tc>
          <w:tcPr>
            <w:tcW w:w="773" w:type="dxa"/>
            <w:shd w:val="clear" w:color="auto" w:fill="80808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-1,0</w:t>
            </w:r>
          </w:p>
        </w:tc>
        <w:tc>
          <w:tcPr>
            <w:tcW w:w="770" w:type="dxa"/>
            <w:shd w:val="clear" w:color="auto" w:fill="80808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0,0</w:t>
            </w:r>
          </w:p>
        </w:tc>
        <w:tc>
          <w:tcPr>
            <w:tcW w:w="943" w:type="dxa"/>
            <w:shd w:val="clear" w:color="auto" w:fill="808080"/>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b/>
                <w:color w:val="FFFFFF" w:themeColor="background1"/>
                <w:sz w:val="18"/>
                <w:szCs w:val="18"/>
              </w:rPr>
              <w:t>-0,6</w:t>
            </w:r>
          </w:p>
        </w:tc>
      </w:tr>
      <w:tr w:rsidR="004E2C7B" w:rsidRPr="00D1595F" w:rsidTr="004E2C7B">
        <w:trPr>
          <w:trHeight w:hRule="exact" w:val="284"/>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EA0885">
              <w:rPr>
                <w:rFonts w:ascii="Arial Narrow" w:hAnsi="Arial Narrow" w:cs="Arial"/>
                <w:bCs/>
                <w:sz w:val="18"/>
                <w:szCs w:val="18"/>
              </w:rPr>
              <w:t>Servizi relativi all'abitazione</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77</w:t>
            </w:r>
            <w:r w:rsidRPr="001760EB">
              <w:rPr>
                <w:rFonts w:ascii="Arial Narrow" w:hAnsi="Arial Narrow" w:cs="Arial"/>
                <w:sz w:val="18"/>
                <w:szCs w:val="18"/>
              </w:rPr>
              <w:t>.</w:t>
            </w:r>
            <w:r>
              <w:rPr>
                <w:rFonts w:ascii="Arial Narrow" w:hAnsi="Arial Narrow" w:cs="Arial"/>
                <w:sz w:val="18"/>
                <w:szCs w:val="18"/>
              </w:rPr>
              <w:t>764</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0,8</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0,8</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0,7</w:t>
            </w:r>
          </w:p>
        </w:tc>
      </w:tr>
      <w:tr w:rsidR="004E2C7B" w:rsidRPr="00D1595F" w:rsidTr="004E2C7B">
        <w:trPr>
          <w:trHeight w:hRule="exact" w:val="284"/>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EA0885">
              <w:rPr>
                <w:rFonts w:ascii="Arial Narrow" w:hAnsi="Arial Narrow" w:cs="Arial"/>
                <w:bCs/>
                <w:sz w:val="18"/>
                <w:szCs w:val="18"/>
              </w:rPr>
              <w:t>Servizi relativi alle comunicazioni</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20</w:t>
            </w:r>
            <w:r w:rsidRPr="001760EB">
              <w:rPr>
                <w:rFonts w:ascii="Arial Narrow" w:hAnsi="Arial Narrow" w:cs="Arial"/>
                <w:sz w:val="18"/>
                <w:szCs w:val="18"/>
              </w:rPr>
              <w:t>.</w:t>
            </w:r>
            <w:r>
              <w:rPr>
                <w:rFonts w:ascii="Arial Narrow" w:hAnsi="Arial Narrow" w:cs="Arial"/>
                <w:sz w:val="18"/>
                <w:szCs w:val="18"/>
              </w:rPr>
              <w:t>997</w:t>
            </w:r>
            <w:r w:rsidRPr="001760EB">
              <w:rPr>
                <w:rFonts w:ascii="Arial Narrow" w:hAnsi="Arial Narrow" w:cs="Arial"/>
                <w:sz w:val="18"/>
                <w:szCs w:val="18"/>
              </w:rPr>
              <w:t xml:space="preserve">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-0,9</w:t>
            </w:r>
          </w:p>
        </w:tc>
      </w:tr>
      <w:tr w:rsidR="004E2C7B" w:rsidRPr="00D1595F" w:rsidTr="004E2C7B">
        <w:trPr>
          <w:trHeight w:hRule="exact" w:val="284"/>
          <w:tblHeader/>
        </w:trPr>
        <w:tc>
          <w:tcPr>
            <w:tcW w:w="3814" w:type="dxa"/>
            <w:vAlign w:val="center"/>
          </w:tcPr>
          <w:p w:rsidR="004E2C7B" w:rsidRPr="00EA0885" w:rsidRDefault="004E2C7B" w:rsidP="007D58AA">
            <w:pPr>
              <w:tabs>
                <w:tab w:val="left" w:pos="290"/>
              </w:tabs>
              <w:spacing w:before="40" w:after="20"/>
              <w:ind w:left="-68"/>
              <w:rPr>
                <w:rFonts w:ascii="Arial Narrow" w:hAnsi="Arial Narrow" w:cs="Arial"/>
                <w:bCs/>
                <w:sz w:val="18"/>
                <w:szCs w:val="18"/>
              </w:rPr>
            </w:pPr>
            <w:r w:rsidRPr="00EA0885">
              <w:rPr>
                <w:rFonts w:ascii="Arial Narrow" w:hAnsi="Arial Narrow" w:cs="Arial"/>
                <w:bCs/>
                <w:sz w:val="18"/>
                <w:szCs w:val="18"/>
              </w:rPr>
              <w:t>Servizi ricreativi, culturali e per la cura della persona</w:t>
            </w:r>
          </w:p>
        </w:tc>
        <w:tc>
          <w:tcPr>
            <w:tcW w:w="954" w:type="dxa"/>
            <w:shd w:val="clear" w:color="auto" w:fill="E6E6E6"/>
            <w:vAlign w:val="center"/>
          </w:tcPr>
          <w:p w:rsidR="004E2C7B" w:rsidRPr="001760EB" w:rsidRDefault="004E2C7B" w:rsidP="005452DD">
            <w:pPr>
              <w:spacing w:before="40" w:after="20"/>
              <w:ind w:right="170"/>
              <w:jc w:val="right"/>
              <w:rPr>
                <w:rFonts w:ascii="Arial Narrow" w:hAnsi="Arial Narrow" w:cs="Arial"/>
                <w:sz w:val="18"/>
                <w:szCs w:val="18"/>
              </w:rPr>
            </w:pPr>
            <w:r>
              <w:rPr>
                <w:rFonts w:ascii="Arial Narrow" w:hAnsi="Arial Narrow" w:cs="Arial"/>
                <w:sz w:val="18"/>
                <w:szCs w:val="18"/>
              </w:rPr>
              <w:t>175</w:t>
            </w:r>
            <w:r w:rsidRPr="001760EB">
              <w:rPr>
                <w:rFonts w:ascii="Arial Narrow" w:hAnsi="Arial Narrow" w:cs="Arial"/>
                <w:sz w:val="18"/>
                <w:szCs w:val="18"/>
              </w:rPr>
              <w:t>.</w:t>
            </w:r>
            <w:r>
              <w:rPr>
                <w:rFonts w:ascii="Arial Narrow" w:hAnsi="Arial Narrow" w:cs="Arial"/>
                <w:sz w:val="18"/>
                <w:szCs w:val="18"/>
              </w:rPr>
              <w:t>56</w:t>
            </w:r>
            <w:r w:rsidRPr="001760EB">
              <w:rPr>
                <w:rFonts w:ascii="Arial Narrow" w:hAnsi="Arial Narrow" w:cs="Arial"/>
                <w:sz w:val="18"/>
                <w:szCs w:val="18"/>
              </w:rPr>
              <w:t xml:space="preserve">5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0,6</w:t>
            </w:r>
          </w:p>
        </w:tc>
      </w:tr>
      <w:tr w:rsidR="004E2C7B" w:rsidRPr="00D1595F" w:rsidTr="004E2C7B">
        <w:trPr>
          <w:trHeight w:hRule="exact" w:val="284"/>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EA0885">
              <w:rPr>
                <w:rFonts w:ascii="Arial Narrow" w:hAnsi="Arial Narrow" w:cs="Arial"/>
                <w:bCs/>
                <w:sz w:val="18"/>
                <w:szCs w:val="18"/>
              </w:rPr>
              <w:t>Servizi relativi ai trasporti</w:t>
            </w:r>
          </w:p>
        </w:tc>
        <w:tc>
          <w:tcPr>
            <w:tcW w:w="954" w:type="dxa"/>
            <w:shd w:val="clear" w:color="auto" w:fill="E6E6E6"/>
            <w:vAlign w:val="center"/>
          </w:tcPr>
          <w:p w:rsidR="004E2C7B" w:rsidRPr="005452DD" w:rsidRDefault="004E2C7B" w:rsidP="005452DD">
            <w:pPr>
              <w:spacing w:before="40" w:after="20"/>
              <w:ind w:right="170"/>
              <w:jc w:val="right"/>
              <w:rPr>
                <w:rFonts w:ascii="Arial Narrow" w:hAnsi="Arial Narrow" w:cs="Arial"/>
                <w:sz w:val="18"/>
                <w:szCs w:val="18"/>
                <w:highlight w:val="yellow"/>
              </w:rPr>
            </w:pPr>
            <w:r w:rsidRPr="005452DD">
              <w:rPr>
                <w:rFonts w:ascii="Arial Narrow" w:hAnsi="Arial Narrow" w:cs="Arial"/>
                <w:sz w:val="18"/>
                <w:szCs w:val="18"/>
              </w:rPr>
              <w:t xml:space="preserve">73.869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-0,3</w:t>
            </w:r>
          </w:p>
        </w:tc>
      </w:tr>
      <w:tr w:rsidR="004E2C7B" w:rsidRPr="00D1595F" w:rsidTr="004E2C7B">
        <w:trPr>
          <w:trHeight w:hRule="exact" w:val="284"/>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EA0885">
              <w:rPr>
                <w:rFonts w:ascii="Arial Narrow" w:hAnsi="Arial Narrow" w:cs="Arial"/>
                <w:bCs/>
                <w:sz w:val="18"/>
                <w:szCs w:val="18"/>
              </w:rPr>
              <w:t>Servizi vari</w:t>
            </w:r>
          </w:p>
        </w:tc>
        <w:tc>
          <w:tcPr>
            <w:tcW w:w="954" w:type="dxa"/>
            <w:shd w:val="clear" w:color="auto" w:fill="E6E6E6"/>
            <w:vAlign w:val="center"/>
          </w:tcPr>
          <w:p w:rsidR="004E2C7B" w:rsidRPr="005452DD" w:rsidRDefault="004E2C7B" w:rsidP="00C96439">
            <w:pPr>
              <w:spacing w:before="40" w:after="20"/>
              <w:ind w:right="170"/>
              <w:jc w:val="right"/>
              <w:rPr>
                <w:rFonts w:ascii="Arial Narrow" w:hAnsi="Arial Narrow" w:cs="Arial"/>
                <w:sz w:val="18"/>
                <w:szCs w:val="18"/>
                <w:highlight w:val="yellow"/>
              </w:rPr>
            </w:pPr>
            <w:r w:rsidRPr="00C96439">
              <w:rPr>
                <w:rFonts w:ascii="Arial Narrow" w:hAnsi="Arial Narrow" w:cs="Arial"/>
                <w:sz w:val="18"/>
                <w:szCs w:val="18"/>
              </w:rPr>
              <w:t xml:space="preserve">114.607 </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r>
      <w:tr w:rsidR="004E2C7B" w:rsidRPr="00D1595F" w:rsidTr="004E2C7B">
        <w:trPr>
          <w:trHeight w:hRule="exact" w:val="284"/>
          <w:tblHeader/>
        </w:trPr>
        <w:tc>
          <w:tcPr>
            <w:tcW w:w="3814" w:type="dxa"/>
            <w:shd w:val="clear" w:color="auto" w:fill="808080"/>
            <w:vAlign w:val="center"/>
          </w:tcPr>
          <w:p w:rsidR="004E2C7B" w:rsidRPr="00EA0885" w:rsidRDefault="004E2C7B" w:rsidP="006E6607">
            <w:pPr>
              <w:spacing w:before="40" w:after="20"/>
              <w:rPr>
                <w:rFonts w:ascii="Arial Narrow" w:hAnsi="Arial Narrow" w:cs="Arial"/>
                <w:b/>
                <w:bCs/>
                <w:color w:val="FFFFFF"/>
                <w:sz w:val="18"/>
                <w:szCs w:val="18"/>
              </w:rPr>
            </w:pPr>
            <w:r w:rsidRPr="00EA0885">
              <w:rPr>
                <w:rFonts w:ascii="Arial Narrow" w:hAnsi="Arial Narrow" w:cs="Arial"/>
                <w:b/>
                <w:bCs/>
                <w:color w:val="FFFFFF"/>
                <w:sz w:val="18"/>
                <w:szCs w:val="18"/>
              </w:rPr>
              <w:t>Servizi</w:t>
            </w:r>
          </w:p>
        </w:tc>
        <w:tc>
          <w:tcPr>
            <w:tcW w:w="954" w:type="dxa"/>
            <w:shd w:val="clear" w:color="auto" w:fill="808080"/>
            <w:vAlign w:val="center"/>
          </w:tcPr>
          <w:p w:rsidR="004E2C7B" w:rsidRPr="006B35A5" w:rsidRDefault="004E2C7B" w:rsidP="006B35A5">
            <w:pPr>
              <w:spacing w:before="40" w:after="20"/>
              <w:ind w:right="227"/>
              <w:jc w:val="right"/>
              <w:rPr>
                <w:rFonts w:ascii="Arial Narrow" w:hAnsi="Arial Narrow" w:cs="Arial"/>
                <w:b/>
                <w:color w:val="FFFFFF" w:themeColor="background1"/>
                <w:sz w:val="18"/>
                <w:szCs w:val="18"/>
              </w:rPr>
            </w:pPr>
            <w:r w:rsidRPr="006B35A5">
              <w:rPr>
                <w:rFonts w:ascii="Arial Narrow" w:hAnsi="Arial Narrow" w:cs="Arial"/>
                <w:b/>
                <w:color w:val="FFFFFF" w:themeColor="background1"/>
                <w:sz w:val="18"/>
                <w:szCs w:val="18"/>
              </w:rPr>
              <w:t xml:space="preserve">462.802 </w:t>
            </w:r>
          </w:p>
        </w:tc>
        <w:tc>
          <w:tcPr>
            <w:tcW w:w="762" w:type="dxa"/>
            <w:shd w:val="clear" w:color="auto" w:fill="808080"/>
            <w:tcMar>
              <w:left w:w="142"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773" w:type="dxa"/>
            <w:shd w:val="clear" w:color="auto" w:fill="808080"/>
            <w:tcMar>
              <w:left w:w="85"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c>
          <w:tcPr>
            <w:tcW w:w="773" w:type="dxa"/>
            <w:shd w:val="clear" w:color="auto" w:fill="80808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c>
          <w:tcPr>
            <w:tcW w:w="770" w:type="dxa"/>
            <w:shd w:val="clear" w:color="auto" w:fill="80808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943" w:type="dxa"/>
            <w:shd w:val="clear" w:color="auto" w:fill="808080"/>
            <w:tcMar>
              <w:left w:w="284" w:type="dxa"/>
              <w:right w:w="85"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r>
      <w:tr w:rsidR="004E2C7B" w:rsidRPr="00D1595F" w:rsidTr="004E2C7B">
        <w:trPr>
          <w:trHeight w:hRule="exact" w:val="284"/>
          <w:tblHeader/>
        </w:trPr>
        <w:tc>
          <w:tcPr>
            <w:tcW w:w="3814" w:type="dxa"/>
            <w:shd w:val="clear" w:color="auto" w:fill="FF0000"/>
            <w:vAlign w:val="center"/>
          </w:tcPr>
          <w:p w:rsidR="004E2C7B" w:rsidRPr="00EA0885" w:rsidRDefault="004E2C7B" w:rsidP="006E6607">
            <w:pPr>
              <w:spacing w:before="40" w:after="20"/>
              <w:rPr>
                <w:rFonts w:ascii="Arial Narrow" w:hAnsi="Arial Narrow" w:cs="Arial"/>
                <w:b/>
                <w:bCs/>
                <w:color w:val="FFFFFF"/>
                <w:sz w:val="18"/>
                <w:szCs w:val="18"/>
              </w:rPr>
            </w:pPr>
            <w:r w:rsidRPr="00EA0885">
              <w:rPr>
                <w:rFonts w:ascii="Arial Narrow" w:hAnsi="Arial Narrow" w:cs="Arial"/>
                <w:b/>
                <w:bCs/>
                <w:color w:val="FFFFFF"/>
                <w:sz w:val="18"/>
                <w:szCs w:val="18"/>
              </w:rPr>
              <w:t>Indice generale</w:t>
            </w:r>
          </w:p>
        </w:tc>
        <w:tc>
          <w:tcPr>
            <w:tcW w:w="954" w:type="dxa"/>
            <w:shd w:val="clear" w:color="auto" w:fill="FF0000"/>
            <w:vAlign w:val="center"/>
          </w:tcPr>
          <w:p w:rsidR="004E2C7B" w:rsidRPr="005452DD" w:rsidRDefault="004E2C7B" w:rsidP="003F614A">
            <w:pPr>
              <w:spacing w:before="40" w:after="20"/>
              <w:ind w:right="170"/>
              <w:jc w:val="right"/>
              <w:rPr>
                <w:rFonts w:ascii="Arial Narrow" w:hAnsi="Arial Narrow" w:cs="Arial"/>
                <w:b/>
                <w:color w:val="FFFFFF" w:themeColor="background1"/>
                <w:sz w:val="18"/>
                <w:szCs w:val="18"/>
                <w:highlight w:val="yellow"/>
              </w:rPr>
            </w:pPr>
            <w:r w:rsidRPr="002140E4">
              <w:rPr>
                <w:rFonts w:ascii="Arial Narrow" w:hAnsi="Arial Narrow" w:cs="Arial"/>
                <w:b/>
                <w:color w:val="FFFFFF" w:themeColor="background1"/>
                <w:sz w:val="18"/>
                <w:szCs w:val="18"/>
              </w:rPr>
              <w:t xml:space="preserve">1.000.000 </w:t>
            </w:r>
          </w:p>
        </w:tc>
        <w:tc>
          <w:tcPr>
            <w:tcW w:w="762" w:type="dxa"/>
            <w:shd w:val="clear" w:color="auto" w:fill="FF0000"/>
            <w:tcMar>
              <w:left w:w="142"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773" w:type="dxa"/>
            <w:shd w:val="clear" w:color="auto" w:fill="FF0000"/>
            <w:tcMar>
              <w:left w:w="85"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c>
          <w:tcPr>
            <w:tcW w:w="773" w:type="dxa"/>
            <w:shd w:val="clear" w:color="auto" w:fill="FF000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770" w:type="dxa"/>
            <w:shd w:val="clear" w:color="auto" w:fill="FF0000"/>
            <w:tcMar>
              <w:left w:w="85" w:type="dxa"/>
            </w:tcMar>
            <w:vAlign w:val="center"/>
          </w:tcPr>
          <w:p w:rsidR="004E2C7B" w:rsidRPr="00875F2D" w:rsidRDefault="004E2C7B" w:rsidP="000E79A9">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943" w:type="dxa"/>
            <w:shd w:val="clear" w:color="auto" w:fill="FF0000"/>
            <w:tcMar>
              <w:left w:w="284" w:type="dxa"/>
              <w:right w:w="85" w:type="dxa"/>
            </w:tcMar>
            <w:vAlign w:val="center"/>
          </w:tcPr>
          <w:p w:rsidR="004E2C7B" w:rsidRPr="00875F2D" w:rsidRDefault="004E2C7B" w:rsidP="004E2C7B">
            <w:pPr>
              <w:spacing w:before="40" w:after="20"/>
              <w:ind w:right="227"/>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r>
      <w:tr w:rsidR="004E2C7B" w:rsidRPr="00D1595F" w:rsidTr="004E2C7B">
        <w:trPr>
          <w:trHeight w:val="113"/>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Pr>
                <w:rFonts w:ascii="Arial Narrow" w:hAnsi="Arial Narrow" w:cs="Arial"/>
                <w:bCs/>
                <w:sz w:val="18"/>
                <w:szCs w:val="18"/>
              </w:rPr>
              <w:t>Indice generale al netto degli energetici e alimentari freschi (</w:t>
            </w:r>
            <w:r w:rsidRPr="00EA0885">
              <w:rPr>
                <w:rFonts w:ascii="Arial Narrow" w:hAnsi="Arial Narrow" w:cs="Arial"/>
                <w:bCs/>
                <w:sz w:val="18"/>
                <w:szCs w:val="18"/>
              </w:rPr>
              <w:t>Componente di fondo</w:t>
            </w:r>
            <w:r>
              <w:rPr>
                <w:rFonts w:ascii="Arial Narrow" w:hAnsi="Arial Narrow" w:cs="Arial"/>
                <w:bCs/>
                <w:sz w:val="18"/>
                <w:szCs w:val="18"/>
              </w:rPr>
              <w:t>)</w:t>
            </w:r>
          </w:p>
        </w:tc>
        <w:tc>
          <w:tcPr>
            <w:tcW w:w="954" w:type="dxa"/>
            <w:shd w:val="clear" w:color="auto" w:fill="E6E6E6"/>
            <w:vAlign w:val="center"/>
          </w:tcPr>
          <w:p w:rsidR="004E2C7B" w:rsidRPr="005452DD" w:rsidRDefault="004E2C7B" w:rsidP="003F614A">
            <w:pPr>
              <w:spacing w:before="40" w:after="20"/>
              <w:ind w:right="170"/>
              <w:jc w:val="right"/>
              <w:rPr>
                <w:rFonts w:ascii="Arial Narrow" w:hAnsi="Arial Narrow" w:cs="Arial"/>
                <w:sz w:val="18"/>
                <w:szCs w:val="18"/>
                <w:highlight w:val="yellow"/>
              </w:rPr>
            </w:pPr>
            <w:r w:rsidRPr="002140E4">
              <w:rPr>
                <w:rFonts w:ascii="Arial Narrow" w:hAnsi="Arial Narrow" w:cs="Arial"/>
                <w:sz w:val="18"/>
                <w:szCs w:val="18"/>
              </w:rPr>
              <w:t>839</w:t>
            </w:r>
            <w:r>
              <w:rPr>
                <w:rFonts w:ascii="Arial Narrow" w:hAnsi="Arial Narrow" w:cs="Arial"/>
                <w:sz w:val="18"/>
                <w:szCs w:val="18"/>
              </w:rPr>
              <w:t>.</w:t>
            </w:r>
            <w:r w:rsidRPr="002140E4">
              <w:rPr>
                <w:rFonts w:ascii="Arial Narrow" w:hAnsi="Arial Narrow" w:cs="Arial"/>
                <w:sz w:val="18"/>
                <w:szCs w:val="18"/>
              </w:rPr>
              <w:t>514</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0,6</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r>
      <w:tr w:rsidR="004E2C7B" w:rsidRPr="00D1595F" w:rsidTr="004E2C7B">
        <w:trPr>
          <w:trHeight w:val="113"/>
          <w:tblHeader/>
        </w:trPr>
        <w:tc>
          <w:tcPr>
            <w:tcW w:w="3814" w:type="dxa"/>
            <w:vAlign w:val="center"/>
          </w:tcPr>
          <w:p w:rsidR="004E2C7B" w:rsidRPr="00EA0885" w:rsidRDefault="004E2C7B" w:rsidP="00DE1D7F">
            <w:pPr>
              <w:spacing w:before="40" w:after="20"/>
              <w:ind w:left="-68"/>
              <w:rPr>
                <w:rFonts w:ascii="Arial Narrow" w:hAnsi="Arial Narrow" w:cs="Arial"/>
                <w:bCs/>
                <w:sz w:val="18"/>
                <w:szCs w:val="18"/>
              </w:rPr>
            </w:pPr>
            <w:r>
              <w:rPr>
                <w:rFonts w:ascii="Arial Narrow" w:hAnsi="Arial Narrow" w:cs="Arial"/>
                <w:bCs/>
                <w:sz w:val="18"/>
                <w:szCs w:val="18"/>
              </w:rPr>
              <w:t>Indice generale al netto dell’energia, degli alimentari (incluse bevande alcoliche) e tabacchi</w:t>
            </w:r>
          </w:p>
        </w:tc>
        <w:tc>
          <w:tcPr>
            <w:tcW w:w="954" w:type="dxa"/>
            <w:shd w:val="clear" w:color="auto" w:fill="E6E6E6"/>
            <w:vAlign w:val="center"/>
          </w:tcPr>
          <w:p w:rsidR="004E2C7B" w:rsidRPr="005452DD" w:rsidRDefault="004E2C7B" w:rsidP="003F614A">
            <w:pPr>
              <w:spacing w:before="40" w:after="20"/>
              <w:ind w:right="170"/>
              <w:jc w:val="right"/>
              <w:rPr>
                <w:rFonts w:ascii="Arial Narrow" w:hAnsi="Arial Narrow" w:cs="Arial"/>
                <w:sz w:val="18"/>
                <w:szCs w:val="18"/>
                <w:highlight w:val="yellow"/>
              </w:rPr>
            </w:pPr>
            <w:r w:rsidRPr="002140E4">
              <w:rPr>
                <w:rFonts w:ascii="Arial Narrow" w:hAnsi="Arial Narrow" w:cs="Arial"/>
                <w:sz w:val="18"/>
                <w:szCs w:val="18"/>
              </w:rPr>
              <w:t>712</w:t>
            </w:r>
            <w:r>
              <w:rPr>
                <w:rFonts w:ascii="Arial Narrow" w:hAnsi="Arial Narrow" w:cs="Arial"/>
                <w:sz w:val="18"/>
                <w:szCs w:val="18"/>
              </w:rPr>
              <w:t>.</w:t>
            </w:r>
            <w:r w:rsidRPr="002140E4">
              <w:rPr>
                <w:rFonts w:ascii="Arial Narrow" w:hAnsi="Arial Narrow" w:cs="Arial"/>
                <w:sz w:val="18"/>
                <w:szCs w:val="18"/>
              </w:rPr>
              <w:t>204</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0" w:type="dxa"/>
            <w:shd w:val="clear" w:color="auto" w:fill="auto"/>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r>
      <w:tr w:rsidR="004E2C7B" w:rsidRPr="00D1595F" w:rsidTr="004E2C7B">
        <w:trPr>
          <w:trHeight w:val="113"/>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EA0885">
              <w:rPr>
                <w:rFonts w:ascii="Arial Narrow" w:hAnsi="Arial Narrow" w:cs="Arial"/>
                <w:bCs/>
                <w:sz w:val="18"/>
                <w:szCs w:val="18"/>
              </w:rPr>
              <w:t>Indice generale al netto degli energetici</w:t>
            </w:r>
          </w:p>
        </w:tc>
        <w:tc>
          <w:tcPr>
            <w:tcW w:w="954" w:type="dxa"/>
            <w:shd w:val="clear" w:color="auto" w:fill="E6E6E6"/>
            <w:vAlign w:val="center"/>
          </w:tcPr>
          <w:p w:rsidR="004E2C7B" w:rsidRPr="005452DD" w:rsidRDefault="004E2C7B" w:rsidP="003F614A">
            <w:pPr>
              <w:spacing w:before="40" w:after="20"/>
              <w:ind w:right="170"/>
              <w:jc w:val="right"/>
              <w:rPr>
                <w:rFonts w:ascii="Arial Narrow" w:hAnsi="Arial Narrow" w:cs="Arial"/>
                <w:sz w:val="18"/>
                <w:szCs w:val="18"/>
                <w:highlight w:val="yellow"/>
              </w:rPr>
            </w:pPr>
            <w:r w:rsidRPr="002140E4">
              <w:rPr>
                <w:rFonts w:ascii="Arial Narrow" w:hAnsi="Arial Narrow" w:cs="Arial"/>
                <w:sz w:val="18"/>
                <w:szCs w:val="18"/>
              </w:rPr>
              <w:t>910.407</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0,5</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0,4</w:t>
            </w:r>
          </w:p>
        </w:tc>
      </w:tr>
      <w:tr w:rsidR="004E2C7B" w:rsidRPr="00D1595F" w:rsidTr="004E2C7B">
        <w:trPr>
          <w:trHeight w:val="113"/>
          <w:tblHeader/>
        </w:trPr>
        <w:tc>
          <w:tcPr>
            <w:tcW w:w="3814" w:type="dxa"/>
            <w:vAlign w:val="center"/>
          </w:tcPr>
          <w:p w:rsidR="004E2C7B" w:rsidRPr="00EA0885" w:rsidRDefault="004E2C7B" w:rsidP="007D58AA">
            <w:pPr>
              <w:spacing w:before="40" w:after="20"/>
              <w:ind w:left="-68"/>
              <w:rPr>
                <w:rFonts w:ascii="Arial Narrow" w:hAnsi="Arial Narrow" w:cs="Arial"/>
                <w:bCs/>
                <w:sz w:val="18"/>
                <w:szCs w:val="18"/>
              </w:rPr>
            </w:pPr>
            <w:r w:rsidRPr="008A2249">
              <w:rPr>
                <w:rFonts w:ascii="Arial Narrow" w:hAnsi="Arial Narrow" w:cs="Arial"/>
                <w:bCs/>
                <w:sz w:val="18"/>
                <w:szCs w:val="18"/>
              </w:rPr>
              <w:t>Indice dei beni alimentari, per la cura della casa e della persona</w:t>
            </w:r>
          </w:p>
        </w:tc>
        <w:tc>
          <w:tcPr>
            <w:tcW w:w="954" w:type="dxa"/>
            <w:shd w:val="clear" w:color="auto" w:fill="E6E6E6"/>
            <w:vAlign w:val="center"/>
          </w:tcPr>
          <w:p w:rsidR="004E2C7B" w:rsidRPr="005452DD" w:rsidRDefault="004E2C7B" w:rsidP="003F614A">
            <w:pPr>
              <w:spacing w:before="40" w:after="20"/>
              <w:ind w:right="170"/>
              <w:jc w:val="right"/>
              <w:rPr>
                <w:rFonts w:ascii="Arial Narrow" w:hAnsi="Arial Narrow" w:cs="Arial"/>
                <w:sz w:val="18"/>
                <w:szCs w:val="18"/>
                <w:highlight w:val="yellow"/>
              </w:rPr>
            </w:pPr>
            <w:r w:rsidRPr="002140E4">
              <w:rPr>
                <w:rFonts w:ascii="Arial Narrow" w:hAnsi="Arial Narrow" w:cs="Arial"/>
                <w:sz w:val="18"/>
                <w:szCs w:val="18"/>
              </w:rPr>
              <w:t>199</w:t>
            </w:r>
            <w:r>
              <w:rPr>
                <w:rFonts w:ascii="Arial Narrow" w:hAnsi="Arial Narrow" w:cs="Arial"/>
                <w:sz w:val="18"/>
                <w:szCs w:val="18"/>
              </w:rPr>
              <w:t>.</w:t>
            </w:r>
            <w:r w:rsidRPr="002140E4">
              <w:rPr>
                <w:rFonts w:ascii="Arial Narrow" w:hAnsi="Arial Narrow" w:cs="Arial"/>
                <w:sz w:val="18"/>
                <w:szCs w:val="18"/>
              </w:rPr>
              <w:t>682</w:t>
            </w:r>
          </w:p>
        </w:tc>
        <w:tc>
          <w:tcPr>
            <w:tcW w:w="762" w:type="dxa"/>
            <w:tcMar>
              <w:left w:w="142"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0,1</w:t>
            </w:r>
          </w:p>
        </w:tc>
        <w:tc>
          <w:tcPr>
            <w:tcW w:w="773"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770" w:type="dxa"/>
            <w:tcMar>
              <w:left w:w="85" w:type="dxa"/>
            </w:tcMar>
            <w:vAlign w:val="center"/>
          </w:tcPr>
          <w:p w:rsidR="004E2C7B" w:rsidRPr="00875F2D" w:rsidRDefault="004E2C7B" w:rsidP="000E79A9">
            <w:pPr>
              <w:spacing w:before="40" w:after="20"/>
              <w:ind w:right="227"/>
              <w:jc w:val="right"/>
              <w:rPr>
                <w:rFonts w:ascii="Arial Narrow" w:hAnsi="Arial Narrow" w:cs="Arial"/>
                <w:sz w:val="18"/>
                <w:szCs w:val="18"/>
              </w:rPr>
            </w:pPr>
            <w:r w:rsidRPr="00875F2D">
              <w:rPr>
                <w:rFonts w:ascii="Arial Narrow" w:hAnsi="Arial Narrow" w:cs="Arial"/>
                <w:sz w:val="18"/>
                <w:szCs w:val="18"/>
              </w:rPr>
              <w:t>0,0</w:t>
            </w:r>
          </w:p>
        </w:tc>
        <w:tc>
          <w:tcPr>
            <w:tcW w:w="943" w:type="dxa"/>
            <w:shd w:val="clear" w:color="auto" w:fill="E6E6E6"/>
            <w:tcMar>
              <w:left w:w="284" w:type="dxa"/>
              <w:right w:w="85" w:type="dxa"/>
            </w:tcMar>
            <w:vAlign w:val="center"/>
          </w:tcPr>
          <w:p w:rsidR="004E2C7B" w:rsidRPr="00875F2D" w:rsidRDefault="004E2C7B" w:rsidP="004E2C7B">
            <w:pPr>
              <w:spacing w:before="40" w:after="20"/>
              <w:ind w:right="227"/>
              <w:jc w:val="right"/>
              <w:rPr>
                <w:rFonts w:ascii="Arial Narrow" w:hAnsi="Arial Narrow" w:cs="Arial"/>
                <w:sz w:val="18"/>
                <w:szCs w:val="18"/>
              </w:rPr>
            </w:pPr>
            <w:r w:rsidRPr="00875F2D">
              <w:rPr>
                <w:rFonts w:ascii="Arial Narrow" w:hAnsi="Arial Narrow" w:cs="Arial"/>
                <w:sz w:val="18"/>
                <w:szCs w:val="18"/>
              </w:rPr>
              <w:t>0,2</w:t>
            </w:r>
          </w:p>
        </w:tc>
      </w:tr>
    </w:tbl>
    <w:p w:rsidR="002A6DAE" w:rsidRDefault="002A6DAE" w:rsidP="002A6DAE">
      <w:pPr>
        <w:spacing w:before="80" w:after="0"/>
        <w:ind w:left="1814"/>
        <w:jc w:val="both"/>
        <w:rPr>
          <w:rFonts w:ascii="Arial Narrow" w:hAnsi="Arial Narrow" w:cs="Arial"/>
          <w:sz w:val="6"/>
          <w:szCs w:val="6"/>
        </w:rPr>
      </w:pPr>
      <w:r w:rsidRPr="009A7BA5">
        <w:rPr>
          <w:rFonts w:ascii="Arial Narrow" w:hAnsi="Arial Narrow" w:cs="Arial"/>
          <w:sz w:val="15"/>
          <w:szCs w:val="15"/>
        </w:rPr>
        <w:t>(a)</w:t>
      </w:r>
      <w:r w:rsidRPr="00D72F92">
        <w:rPr>
          <w:rFonts w:ascii="Arial Narrow" w:hAnsi="Arial Narrow" w:cs="Arial"/>
          <w:sz w:val="15"/>
          <w:szCs w:val="15"/>
        </w:rPr>
        <w:t xml:space="preserve"> le variazioni tendenziali e l’inflazione acquisita, con l’aggiornamento della base di riferimento degli indici NIC all’anno</w:t>
      </w:r>
      <w:r>
        <w:rPr>
          <w:rFonts w:ascii="Arial Narrow" w:hAnsi="Arial Narrow" w:cs="Arial"/>
          <w:sz w:val="15"/>
          <w:szCs w:val="15"/>
        </w:rPr>
        <w:t xml:space="preserve"> </w:t>
      </w:r>
      <w:r w:rsidRPr="00D72F92">
        <w:rPr>
          <w:rFonts w:ascii="Arial Narrow" w:hAnsi="Arial Narrow" w:cs="Arial"/>
          <w:sz w:val="15"/>
          <w:szCs w:val="15"/>
        </w:rPr>
        <w:t>201</w:t>
      </w:r>
      <w:r>
        <w:rPr>
          <w:rFonts w:ascii="Arial Narrow" w:hAnsi="Arial Narrow" w:cs="Arial"/>
          <w:sz w:val="15"/>
          <w:szCs w:val="15"/>
        </w:rPr>
        <w:t xml:space="preserve">5 </w:t>
      </w:r>
      <w:r w:rsidRPr="00D72F92">
        <w:rPr>
          <w:rFonts w:ascii="Arial Narrow" w:hAnsi="Arial Narrow" w:cs="Arial"/>
          <w:sz w:val="15"/>
          <w:szCs w:val="15"/>
        </w:rPr>
        <w:t xml:space="preserve">(base precedente </w:t>
      </w:r>
      <w:r>
        <w:rPr>
          <w:rFonts w:ascii="Arial Narrow" w:hAnsi="Arial Narrow" w:cs="Arial"/>
          <w:sz w:val="15"/>
          <w:szCs w:val="15"/>
        </w:rPr>
        <w:t>2010</w:t>
      </w:r>
      <w:r w:rsidRPr="00D72F92">
        <w:rPr>
          <w:rFonts w:ascii="Arial Narrow" w:hAnsi="Arial Narrow" w:cs="Arial"/>
          <w:sz w:val="15"/>
          <w:szCs w:val="15"/>
        </w:rPr>
        <w:t>=100), sono calcolate utilizzando i coefficient</w:t>
      </w:r>
      <w:r>
        <w:rPr>
          <w:rFonts w:ascii="Arial Narrow" w:hAnsi="Arial Narrow" w:cs="Arial"/>
          <w:sz w:val="15"/>
          <w:szCs w:val="15"/>
        </w:rPr>
        <w:t>i</w:t>
      </w:r>
      <w:r w:rsidRPr="00D72F92">
        <w:rPr>
          <w:rFonts w:ascii="Arial Narrow" w:hAnsi="Arial Narrow" w:cs="Arial"/>
          <w:sz w:val="15"/>
          <w:szCs w:val="15"/>
        </w:rPr>
        <w:t xml:space="preserve"> di raccordo. Si veda la Nota metodologica </w:t>
      </w:r>
      <w:r>
        <w:rPr>
          <w:rFonts w:ascii="Arial Narrow" w:hAnsi="Arial Narrow" w:cs="Arial"/>
          <w:sz w:val="15"/>
          <w:szCs w:val="15"/>
        </w:rPr>
        <w:t>alla fine del comunicato.</w:t>
      </w:r>
    </w:p>
    <w:p w:rsidR="009B0D9E" w:rsidRDefault="009B0D9E">
      <w:pPr>
        <w:widowControl/>
        <w:overflowPunct/>
        <w:autoSpaceDE/>
        <w:autoSpaceDN/>
        <w:adjustRightInd/>
        <w:spacing w:before="0" w:after="0"/>
        <w:rPr>
          <w:rFonts w:ascii="Arial" w:hAnsi="Arial" w:cs="Arial"/>
          <w:kern w:val="0"/>
        </w:rPr>
      </w:pPr>
    </w:p>
    <w:p w:rsidR="00E225AD" w:rsidRPr="00E01038" w:rsidRDefault="00E225AD" w:rsidP="00E225AD">
      <w:pPr>
        <w:widowControl/>
        <w:overflowPunct/>
        <w:autoSpaceDE/>
        <w:autoSpaceDN/>
        <w:adjustRightInd/>
        <w:spacing w:before="120" w:after="120"/>
        <w:ind w:left="1814"/>
        <w:jc w:val="both"/>
        <w:rPr>
          <w:rFonts w:ascii="Arial" w:hAnsi="Arial" w:cs="Arial"/>
          <w:kern w:val="0"/>
        </w:rPr>
      </w:pPr>
      <w:r w:rsidRPr="00E01038">
        <w:rPr>
          <w:rFonts w:ascii="Arial" w:hAnsi="Arial" w:cs="Arial"/>
          <w:kern w:val="0"/>
        </w:rPr>
        <w:t xml:space="preserve">I prezzi dei Beni energetici </w:t>
      </w:r>
      <w:r>
        <w:rPr>
          <w:rFonts w:ascii="Arial" w:hAnsi="Arial" w:cs="Arial"/>
          <w:kern w:val="0"/>
        </w:rPr>
        <w:t>aumentano dell’1</w:t>
      </w:r>
      <w:r w:rsidRPr="00E01038">
        <w:rPr>
          <w:rFonts w:ascii="Arial" w:hAnsi="Arial" w:cs="Arial"/>
          <w:kern w:val="0"/>
        </w:rPr>
        <w:t>,</w:t>
      </w:r>
      <w:r>
        <w:rPr>
          <w:rFonts w:ascii="Arial" w:hAnsi="Arial" w:cs="Arial"/>
          <w:kern w:val="0"/>
        </w:rPr>
        <w:t>1</w:t>
      </w:r>
      <w:r w:rsidRPr="00E01038">
        <w:rPr>
          <w:rFonts w:ascii="Arial" w:hAnsi="Arial" w:cs="Arial"/>
          <w:kern w:val="0"/>
        </w:rPr>
        <w:t>% su base mensile e registrano</w:t>
      </w:r>
      <w:r>
        <w:rPr>
          <w:rFonts w:ascii="Arial" w:hAnsi="Arial" w:cs="Arial"/>
          <w:kern w:val="0"/>
        </w:rPr>
        <w:t xml:space="preserve"> </w:t>
      </w:r>
      <w:r w:rsidRPr="00E01038">
        <w:rPr>
          <w:rFonts w:ascii="Arial" w:hAnsi="Arial" w:cs="Arial"/>
          <w:kern w:val="0"/>
        </w:rPr>
        <w:t xml:space="preserve">una flessione </w:t>
      </w:r>
      <w:r>
        <w:rPr>
          <w:rFonts w:ascii="Arial" w:hAnsi="Arial" w:cs="Arial"/>
          <w:kern w:val="0"/>
        </w:rPr>
        <w:t xml:space="preserve">su base annua </w:t>
      </w:r>
      <w:r w:rsidRPr="00E01038">
        <w:rPr>
          <w:rFonts w:ascii="Arial" w:hAnsi="Arial" w:cs="Arial"/>
          <w:kern w:val="0"/>
        </w:rPr>
        <w:t>(-</w:t>
      </w:r>
      <w:r>
        <w:rPr>
          <w:rFonts w:ascii="Arial" w:hAnsi="Arial" w:cs="Arial"/>
          <w:kern w:val="0"/>
        </w:rPr>
        <w:t>7</w:t>
      </w:r>
      <w:r w:rsidRPr="00E01038">
        <w:rPr>
          <w:rFonts w:ascii="Arial" w:hAnsi="Arial" w:cs="Arial"/>
          <w:kern w:val="0"/>
        </w:rPr>
        <w:t>,</w:t>
      </w:r>
      <w:r>
        <w:rPr>
          <w:rFonts w:ascii="Arial" w:hAnsi="Arial" w:cs="Arial"/>
          <w:kern w:val="0"/>
        </w:rPr>
        <w:t>5</w:t>
      </w:r>
      <w:r w:rsidRPr="00E01038">
        <w:rPr>
          <w:rFonts w:ascii="Arial" w:hAnsi="Arial" w:cs="Arial"/>
          <w:kern w:val="0"/>
        </w:rPr>
        <w:t xml:space="preserve">%) </w:t>
      </w:r>
      <w:r>
        <w:rPr>
          <w:rFonts w:ascii="Arial" w:hAnsi="Arial" w:cs="Arial"/>
          <w:kern w:val="0"/>
        </w:rPr>
        <w:t xml:space="preserve">in rallentamento </w:t>
      </w:r>
      <w:r w:rsidRPr="00E01038">
        <w:rPr>
          <w:rFonts w:ascii="Arial" w:hAnsi="Arial" w:cs="Arial"/>
          <w:kern w:val="0"/>
        </w:rPr>
        <w:t xml:space="preserve">rispetto a quella rilevata </w:t>
      </w:r>
      <w:r>
        <w:rPr>
          <w:rFonts w:ascii="Arial" w:hAnsi="Arial" w:cs="Arial"/>
          <w:kern w:val="0"/>
        </w:rPr>
        <w:t>a maggio</w:t>
      </w:r>
      <w:r w:rsidRPr="00E01038">
        <w:rPr>
          <w:rFonts w:ascii="Arial" w:hAnsi="Arial" w:cs="Arial"/>
          <w:kern w:val="0"/>
        </w:rPr>
        <w:t xml:space="preserve"> (-</w:t>
      </w:r>
      <w:r>
        <w:rPr>
          <w:rFonts w:ascii="Arial" w:hAnsi="Arial" w:cs="Arial"/>
          <w:kern w:val="0"/>
        </w:rPr>
        <w:t>8</w:t>
      </w:r>
      <w:r w:rsidRPr="00E01038">
        <w:rPr>
          <w:rFonts w:ascii="Arial" w:hAnsi="Arial" w:cs="Arial"/>
          <w:kern w:val="0"/>
        </w:rPr>
        <w:t>,</w:t>
      </w:r>
      <w:r>
        <w:rPr>
          <w:rFonts w:ascii="Arial" w:hAnsi="Arial" w:cs="Arial"/>
          <w:kern w:val="0"/>
        </w:rPr>
        <w:t>4</w:t>
      </w:r>
      <w:r w:rsidRPr="00E01038">
        <w:rPr>
          <w:rFonts w:ascii="Arial" w:hAnsi="Arial" w:cs="Arial"/>
          <w:kern w:val="0"/>
        </w:rPr>
        <w:t xml:space="preserve">%). La dinamica dei prezzi dei Beni energetici è da ascrivere </w:t>
      </w:r>
      <w:r>
        <w:rPr>
          <w:rFonts w:ascii="Arial" w:hAnsi="Arial" w:cs="Arial"/>
          <w:kern w:val="0"/>
        </w:rPr>
        <w:t xml:space="preserve">principalmente </w:t>
      </w:r>
      <w:r w:rsidRPr="00E01038">
        <w:rPr>
          <w:rFonts w:ascii="Arial" w:hAnsi="Arial" w:cs="Arial"/>
          <w:kern w:val="0"/>
        </w:rPr>
        <w:t xml:space="preserve">alla componente </w:t>
      </w:r>
      <w:r>
        <w:rPr>
          <w:rFonts w:ascii="Arial" w:hAnsi="Arial" w:cs="Arial"/>
          <w:kern w:val="0"/>
        </w:rPr>
        <w:t xml:space="preserve">non </w:t>
      </w:r>
      <w:r w:rsidRPr="00E01038">
        <w:rPr>
          <w:rFonts w:ascii="Arial" w:hAnsi="Arial" w:cs="Arial"/>
          <w:kern w:val="0"/>
        </w:rPr>
        <w:t>regolamentata, i cui prezzi</w:t>
      </w:r>
      <w:r>
        <w:rPr>
          <w:rFonts w:ascii="Arial" w:hAnsi="Arial" w:cs="Arial"/>
          <w:kern w:val="0"/>
        </w:rPr>
        <w:t xml:space="preserve"> crescono del 2,1%</w:t>
      </w:r>
      <w:r w:rsidRPr="000A71AA">
        <w:rPr>
          <w:rFonts w:ascii="Arial" w:hAnsi="Arial" w:cs="Arial"/>
          <w:kern w:val="0"/>
        </w:rPr>
        <w:t xml:space="preserve"> </w:t>
      </w:r>
      <w:r>
        <w:rPr>
          <w:rFonts w:ascii="Arial" w:hAnsi="Arial" w:cs="Arial"/>
          <w:kern w:val="0"/>
        </w:rPr>
        <w:t xml:space="preserve">su base mensile </w:t>
      </w:r>
      <w:r w:rsidRPr="00E01038">
        <w:rPr>
          <w:rFonts w:ascii="Arial" w:hAnsi="Arial" w:cs="Arial"/>
          <w:kern w:val="0"/>
        </w:rPr>
        <w:t xml:space="preserve">– </w:t>
      </w:r>
      <w:r w:rsidRPr="00B441F6">
        <w:rPr>
          <w:rFonts w:ascii="Arial" w:hAnsi="Arial" w:cs="Arial"/>
          <w:kern w:val="0"/>
        </w:rPr>
        <w:t>per effetto dell’aumento dei prezzi della Benzina e del Gasolio per mezzi di trasporto –</w:t>
      </w:r>
      <w:r w:rsidRPr="00E01038">
        <w:rPr>
          <w:rFonts w:ascii="Arial" w:hAnsi="Arial" w:cs="Arial"/>
          <w:kern w:val="0"/>
        </w:rPr>
        <w:t xml:space="preserve"> </w:t>
      </w:r>
      <w:r>
        <w:rPr>
          <w:rFonts w:ascii="Arial" w:hAnsi="Arial" w:cs="Arial"/>
          <w:kern w:val="0"/>
        </w:rPr>
        <w:t xml:space="preserve">e la relativa </w:t>
      </w:r>
      <w:r w:rsidRPr="00E01038">
        <w:rPr>
          <w:rFonts w:ascii="Arial" w:hAnsi="Arial" w:cs="Arial"/>
          <w:kern w:val="0"/>
        </w:rPr>
        <w:t xml:space="preserve">flessione tendenziale </w:t>
      </w:r>
      <w:r>
        <w:rPr>
          <w:rFonts w:ascii="Arial" w:hAnsi="Arial" w:cs="Arial"/>
          <w:kern w:val="0"/>
        </w:rPr>
        <w:t xml:space="preserve">si riduce di 1,9 punti percentuali portandosi a </w:t>
      </w:r>
      <w:r w:rsidRPr="00E01038">
        <w:rPr>
          <w:rFonts w:ascii="Arial" w:hAnsi="Arial" w:cs="Arial"/>
          <w:kern w:val="0"/>
        </w:rPr>
        <w:t>-</w:t>
      </w:r>
      <w:r>
        <w:rPr>
          <w:rFonts w:ascii="Arial" w:hAnsi="Arial" w:cs="Arial"/>
          <w:kern w:val="0"/>
        </w:rPr>
        <w:t>8,1</w:t>
      </w:r>
      <w:r w:rsidRPr="00E01038">
        <w:rPr>
          <w:rFonts w:ascii="Arial" w:hAnsi="Arial" w:cs="Arial"/>
          <w:kern w:val="0"/>
        </w:rPr>
        <w:t>%</w:t>
      </w:r>
      <w:r>
        <w:rPr>
          <w:rFonts w:ascii="Arial" w:hAnsi="Arial" w:cs="Arial"/>
          <w:kern w:val="0"/>
        </w:rPr>
        <w:t xml:space="preserve"> da -10,0% di maggio</w:t>
      </w:r>
      <w:r w:rsidRPr="00CF64DD">
        <w:rPr>
          <w:rFonts w:ascii="Arial" w:hAnsi="Arial" w:cs="Arial"/>
          <w:kern w:val="0"/>
        </w:rPr>
        <w:t>. I prezzi degli Energetici regolamentati diminuiscono dello 0,1% in termini congiunturali, con una flessione su base annua (-6,8%) in lieve accentuazione rispetto a quella registrata il mese precedente (-6,7%).</w:t>
      </w:r>
    </w:p>
    <w:p w:rsidR="00E225AD" w:rsidRPr="00E01038" w:rsidRDefault="00E225AD" w:rsidP="00E225AD">
      <w:pPr>
        <w:widowControl/>
        <w:tabs>
          <w:tab w:val="num" w:pos="360"/>
        </w:tabs>
        <w:overflowPunct/>
        <w:autoSpaceDE/>
        <w:autoSpaceDN/>
        <w:adjustRightInd/>
        <w:spacing w:before="120" w:after="120"/>
        <w:ind w:left="1814"/>
        <w:jc w:val="both"/>
        <w:rPr>
          <w:rFonts w:ascii="Arial" w:hAnsi="Arial" w:cs="Arial"/>
          <w:kern w:val="0"/>
        </w:rPr>
      </w:pPr>
      <w:r w:rsidRPr="00E01038">
        <w:rPr>
          <w:rFonts w:ascii="Arial" w:hAnsi="Arial" w:cs="Arial"/>
          <w:kern w:val="0"/>
        </w:rPr>
        <w:t xml:space="preserve">I prezzi dei Tabacchi </w:t>
      </w:r>
      <w:r>
        <w:rPr>
          <w:rFonts w:ascii="Arial" w:hAnsi="Arial" w:cs="Arial"/>
          <w:kern w:val="0"/>
        </w:rPr>
        <w:t>registrano un incremento dello 0,6% su base mensile</w:t>
      </w:r>
      <w:r w:rsidRPr="00E01038">
        <w:rPr>
          <w:rFonts w:ascii="Arial" w:hAnsi="Arial" w:cs="Arial"/>
          <w:kern w:val="0"/>
        </w:rPr>
        <w:t xml:space="preserve"> e </w:t>
      </w:r>
      <w:r>
        <w:rPr>
          <w:rFonts w:ascii="Arial" w:hAnsi="Arial" w:cs="Arial"/>
          <w:kern w:val="0"/>
        </w:rPr>
        <w:t>segnano, in termini tendenziali, un’accelerazione della crescita (+2,9%, da +2</w:t>
      </w:r>
      <w:r w:rsidRPr="00E01038">
        <w:rPr>
          <w:rFonts w:ascii="Arial" w:hAnsi="Arial" w:cs="Arial"/>
          <w:kern w:val="0"/>
        </w:rPr>
        <w:t>,</w:t>
      </w:r>
      <w:r>
        <w:rPr>
          <w:rFonts w:ascii="Arial" w:hAnsi="Arial" w:cs="Arial"/>
          <w:kern w:val="0"/>
        </w:rPr>
        <w:t>0% di maggio)</w:t>
      </w:r>
      <w:r w:rsidRPr="00E01038">
        <w:rPr>
          <w:rFonts w:ascii="Arial" w:hAnsi="Arial" w:cs="Arial"/>
          <w:kern w:val="0"/>
        </w:rPr>
        <w:t>.</w:t>
      </w:r>
    </w:p>
    <w:p w:rsidR="00E225AD" w:rsidRPr="00E01038" w:rsidRDefault="00E225AD" w:rsidP="00E225AD">
      <w:pPr>
        <w:widowControl/>
        <w:overflowPunct/>
        <w:autoSpaceDE/>
        <w:autoSpaceDN/>
        <w:adjustRightInd/>
        <w:spacing w:before="0" w:after="120"/>
        <w:ind w:left="1814"/>
        <w:jc w:val="both"/>
        <w:rPr>
          <w:rFonts w:ascii="Arial" w:hAnsi="Arial" w:cs="Arial"/>
          <w:kern w:val="0"/>
        </w:rPr>
      </w:pPr>
      <w:r w:rsidRPr="00657EA1">
        <w:rPr>
          <w:rFonts w:ascii="Arial" w:hAnsi="Arial" w:cs="Arial"/>
          <w:kern w:val="0"/>
        </w:rPr>
        <w:t xml:space="preserve">Infine, i prezzi degli Altri beni (non energetici e non alimentari, esclusi i tabacchi) </w:t>
      </w:r>
      <w:r>
        <w:rPr>
          <w:rFonts w:ascii="Arial" w:hAnsi="Arial" w:cs="Arial"/>
          <w:kern w:val="0"/>
        </w:rPr>
        <w:t xml:space="preserve">diminuiscono dello 0,3% </w:t>
      </w:r>
      <w:r w:rsidRPr="00657EA1">
        <w:rPr>
          <w:rFonts w:ascii="Arial" w:hAnsi="Arial" w:cs="Arial"/>
          <w:kern w:val="0"/>
        </w:rPr>
        <w:t>rispetto a</w:t>
      </w:r>
      <w:r>
        <w:rPr>
          <w:rFonts w:ascii="Arial" w:hAnsi="Arial" w:cs="Arial"/>
          <w:kern w:val="0"/>
        </w:rPr>
        <w:t xml:space="preserve"> maggio</w:t>
      </w:r>
      <w:r w:rsidRPr="00657EA1">
        <w:rPr>
          <w:rFonts w:ascii="Arial" w:hAnsi="Arial" w:cs="Arial"/>
          <w:kern w:val="0"/>
        </w:rPr>
        <w:t xml:space="preserve"> e la relativa crescita tendenziale si </w:t>
      </w:r>
      <w:r>
        <w:rPr>
          <w:rFonts w:ascii="Arial" w:hAnsi="Arial" w:cs="Arial"/>
          <w:kern w:val="0"/>
        </w:rPr>
        <w:t xml:space="preserve">riduce </w:t>
      </w:r>
      <w:r w:rsidRPr="00657EA1">
        <w:rPr>
          <w:rFonts w:ascii="Arial" w:hAnsi="Arial" w:cs="Arial"/>
          <w:kern w:val="0"/>
        </w:rPr>
        <w:t xml:space="preserve">di </w:t>
      </w:r>
      <w:r>
        <w:rPr>
          <w:rFonts w:ascii="Arial" w:hAnsi="Arial" w:cs="Arial"/>
          <w:kern w:val="0"/>
        </w:rPr>
        <w:t xml:space="preserve">tre </w:t>
      </w:r>
      <w:r w:rsidRPr="00657EA1">
        <w:rPr>
          <w:rFonts w:ascii="Arial" w:hAnsi="Arial" w:cs="Arial"/>
          <w:kern w:val="0"/>
        </w:rPr>
        <w:t>decim</w:t>
      </w:r>
      <w:r>
        <w:rPr>
          <w:rFonts w:ascii="Arial" w:hAnsi="Arial" w:cs="Arial"/>
          <w:kern w:val="0"/>
        </w:rPr>
        <w:t>i</w:t>
      </w:r>
      <w:r w:rsidRPr="00657EA1">
        <w:rPr>
          <w:rFonts w:ascii="Arial" w:hAnsi="Arial" w:cs="Arial"/>
          <w:kern w:val="0"/>
        </w:rPr>
        <w:t xml:space="preserve"> di punto percentuale (+0,</w:t>
      </w:r>
      <w:r>
        <w:rPr>
          <w:rFonts w:ascii="Arial" w:hAnsi="Arial" w:cs="Arial"/>
          <w:kern w:val="0"/>
        </w:rPr>
        <w:t>4</w:t>
      </w:r>
      <w:r w:rsidRPr="00657EA1">
        <w:rPr>
          <w:rFonts w:ascii="Arial" w:hAnsi="Arial" w:cs="Arial"/>
          <w:kern w:val="0"/>
        </w:rPr>
        <w:t>%, era +0,</w:t>
      </w:r>
      <w:r>
        <w:rPr>
          <w:rFonts w:ascii="Arial" w:hAnsi="Arial" w:cs="Arial"/>
          <w:kern w:val="0"/>
        </w:rPr>
        <w:t>7</w:t>
      </w:r>
      <w:r w:rsidRPr="00657EA1">
        <w:rPr>
          <w:rFonts w:ascii="Arial" w:hAnsi="Arial" w:cs="Arial"/>
          <w:kern w:val="0"/>
        </w:rPr>
        <w:t>% il mese precedente).</w:t>
      </w:r>
    </w:p>
    <w:p w:rsidR="00E225AD" w:rsidRDefault="00E225AD" w:rsidP="00E225AD">
      <w:pPr>
        <w:widowControl/>
        <w:overflowPunct/>
        <w:autoSpaceDE/>
        <w:autoSpaceDN/>
        <w:adjustRightInd/>
        <w:spacing w:before="0" w:after="120"/>
        <w:ind w:left="1814"/>
        <w:jc w:val="both"/>
        <w:rPr>
          <w:rFonts w:ascii="Arial" w:hAnsi="Arial" w:cs="Arial"/>
          <w:kern w:val="0"/>
        </w:rPr>
      </w:pPr>
      <w:r>
        <w:rPr>
          <w:rFonts w:ascii="Arial" w:hAnsi="Arial" w:cs="Arial"/>
          <w:kern w:val="0"/>
        </w:rPr>
        <w:t>Tra i</w:t>
      </w:r>
      <w:r w:rsidRPr="00E01038">
        <w:rPr>
          <w:rFonts w:ascii="Arial" w:hAnsi="Arial" w:cs="Arial"/>
          <w:kern w:val="0"/>
        </w:rPr>
        <w:t xml:space="preserve"> servizi si </w:t>
      </w:r>
      <w:r>
        <w:rPr>
          <w:rFonts w:ascii="Arial" w:hAnsi="Arial" w:cs="Arial"/>
          <w:kern w:val="0"/>
        </w:rPr>
        <w:t>rileva</w:t>
      </w:r>
      <w:r w:rsidRPr="00E01038">
        <w:rPr>
          <w:rFonts w:ascii="Arial" w:hAnsi="Arial" w:cs="Arial"/>
          <w:kern w:val="0"/>
        </w:rPr>
        <w:t xml:space="preserve"> </w:t>
      </w:r>
      <w:r>
        <w:rPr>
          <w:rFonts w:ascii="Arial" w:hAnsi="Arial" w:cs="Arial"/>
          <w:kern w:val="0"/>
        </w:rPr>
        <w:t>un aumento congiunturale</w:t>
      </w:r>
      <w:r w:rsidRPr="00E01038">
        <w:rPr>
          <w:rFonts w:ascii="Arial" w:hAnsi="Arial" w:cs="Arial"/>
          <w:kern w:val="0"/>
        </w:rPr>
        <w:t xml:space="preserve"> dei prezzi dei Servizi ricreativi, culturali e </w:t>
      </w:r>
      <w:r>
        <w:rPr>
          <w:rFonts w:ascii="Arial" w:hAnsi="Arial" w:cs="Arial"/>
          <w:kern w:val="0"/>
        </w:rPr>
        <w:t xml:space="preserve">per </w:t>
      </w:r>
      <w:r w:rsidRPr="00E01038">
        <w:rPr>
          <w:rFonts w:ascii="Arial" w:hAnsi="Arial" w:cs="Arial"/>
          <w:kern w:val="0"/>
        </w:rPr>
        <w:t>la cura della persona</w:t>
      </w:r>
      <w:r>
        <w:rPr>
          <w:rFonts w:ascii="Arial" w:hAnsi="Arial" w:cs="Arial"/>
          <w:kern w:val="0"/>
        </w:rPr>
        <w:t xml:space="preserve"> (+0,4%) e una loro crescita stabile su base annua (anch’essa pari a +0,4%). Anche i prezzi </w:t>
      </w:r>
      <w:r w:rsidRPr="00133F6E">
        <w:rPr>
          <w:rFonts w:ascii="Arial" w:hAnsi="Arial" w:cs="Arial"/>
          <w:kern w:val="0"/>
        </w:rPr>
        <w:t xml:space="preserve">dei </w:t>
      </w:r>
      <w:r w:rsidRPr="00800BE8">
        <w:rPr>
          <w:rFonts w:ascii="Arial" w:hAnsi="Arial" w:cs="Arial"/>
          <w:kern w:val="0"/>
        </w:rPr>
        <w:t xml:space="preserve">Servizi relativi ai trasporti </w:t>
      </w:r>
      <w:r>
        <w:rPr>
          <w:rFonts w:ascii="Arial" w:hAnsi="Arial" w:cs="Arial"/>
          <w:kern w:val="0"/>
        </w:rPr>
        <w:t>e dei Servizi relativi all’abitazione aumentano, seppure in misura più contenuta, rispetto a maggio: i primi dello 0,2% e i secondi dello 0,1%; la relativa crescita tendenziale, stabile in entrambi i casi, è pari a + 0,2% per i Servizi relativi ai trasporti e a +0,8% per i Servizi relativi all’abitazione</w:t>
      </w:r>
      <w:r w:rsidRPr="00133F6E">
        <w:rPr>
          <w:rFonts w:ascii="Arial" w:hAnsi="Arial" w:cs="Arial"/>
          <w:kern w:val="0"/>
        </w:rPr>
        <w:t>.</w:t>
      </w:r>
      <w:r>
        <w:rPr>
          <w:rFonts w:ascii="Arial" w:hAnsi="Arial" w:cs="Arial"/>
          <w:kern w:val="0"/>
        </w:rPr>
        <w:t xml:space="preserve"> </w:t>
      </w:r>
      <w:r w:rsidRPr="00133F6E">
        <w:rPr>
          <w:rFonts w:ascii="Arial" w:hAnsi="Arial" w:cs="Arial"/>
          <w:kern w:val="0"/>
        </w:rPr>
        <w:t xml:space="preserve">I prezzi </w:t>
      </w:r>
      <w:r>
        <w:rPr>
          <w:rFonts w:ascii="Arial" w:hAnsi="Arial" w:cs="Arial"/>
          <w:kern w:val="0"/>
        </w:rPr>
        <w:t>dei</w:t>
      </w:r>
      <w:r w:rsidRPr="00133F6E">
        <w:rPr>
          <w:rFonts w:ascii="Arial" w:hAnsi="Arial" w:cs="Arial"/>
          <w:kern w:val="0"/>
        </w:rPr>
        <w:t xml:space="preserve"> Servizi </w:t>
      </w:r>
      <w:r>
        <w:rPr>
          <w:rFonts w:ascii="Arial" w:hAnsi="Arial" w:cs="Arial"/>
          <w:kern w:val="0"/>
        </w:rPr>
        <w:t>relativi alle</w:t>
      </w:r>
      <w:r w:rsidRPr="00133F6E">
        <w:rPr>
          <w:rFonts w:ascii="Arial" w:hAnsi="Arial" w:cs="Arial"/>
          <w:kern w:val="0"/>
        </w:rPr>
        <w:t xml:space="preserve"> comunicazioni </w:t>
      </w:r>
      <w:r w:rsidRPr="00800BE8">
        <w:rPr>
          <w:rFonts w:ascii="Arial" w:hAnsi="Arial" w:cs="Arial"/>
          <w:kern w:val="0"/>
        </w:rPr>
        <w:t>diminuiscono dello 0,</w:t>
      </w:r>
      <w:r>
        <w:rPr>
          <w:rFonts w:ascii="Arial" w:hAnsi="Arial" w:cs="Arial"/>
          <w:kern w:val="0"/>
        </w:rPr>
        <w:t>3</w:t>
      </w:r>
      <w:r w:rsidRPr="00800BE8">
        <w:rPr>
          <w:rFonts w:ascii="Arial" w:hAnsi="Arial" w:cs="Arial"/>
          <w:kern w:val="0"/>
        </w:rPr>
        <w:t xml:space="preserve">% </w:t>
      </w:r>
      <w:r>
        <w:rPr>
          <w:rFonts w:ascii="Arial" w:hAnsi="Arial" w:cs="Arial"/>
          <w:kern w:val="0"/>
        </w:rPr>
        <w:t xml:space="preserve">in termini congiunturali </w:t>
      </w:r>
      <w:r w:rsidRPr="00800BE8">
        <w:rPr>
          <w:rFonts w:ascii="Arial" w:hAnsi="Arial" w:cs="Arial"/>
          <w:kern w:val="0"/>
        </w:rPr>
        <w:t>e segnano un</w:t>
      </w:r>
      <w:r>
        <w:rPr>
          <w:rFonts w:ascii="Arial" w:hAnsi="Arial" w:cs="Arial"/>
          <w:kern w:val="0"/>
        </w:rPr>
        <w:t>a lieve accentuazione della flessione</w:t>
      </w:r>
      <w:r w:rsidRPr="00800BE8">
        <w:rPr>
          <w:rFonts w:ascii="Arial" w:hAnsi="Arial" w:cs="Arial"/>
          <w:kern w:val="0"/>
        </w:rPr>
        <w:t xml:space="preserve"> </w:t>
      </w:r>
      <w:r>
        <w:rPr>
          <w:rFonts w:ascii="Arial" w:hAnsi="Arial" w:cs="Arial"/>
          <w:kern w:val="0"/>
        </w:rPr>
        <w:t xml:space="preserve">tendenziale </w:t>
      </w:r>
      <w:r w:rsidRPr="00800BE8">
        <w:rPr>
          <w:rFonts w:ascii="Arial" w:hAnsi="Arial" w:cs="Arial"/>
          <w:kern w:val="0"/>
        </w:rPr>
        <w:t>(</w:t>
      </w:r>
      <w:r>
        <w:rPr>
          <w:rFonts w:ascii="Arial" w:hAnsi="Arial" w:cs="Arial"/>
          <w:kern w:val="0"/>
        </w:rPr>
        <w:t>-</w:t>
      </w:r>
      <w:r w:rsidRPr="00800BE8">
        <w:rPr>
          <w:rFonts w:ascii="Arial" w:hAnsi="Arial" w:cs="Arial"/>
          <w:kern w:val="0"/>
        </w:rPr>
        <w:t>0,</w:t>
      </w:r>
      <w:r>
        <w:rPr>
          <w:rFonts w:ascii="Arial" w:hAnsi="Arial" w:cs="Arial"/>
          <w:kern w:val="0"/>
        </w:rPr>
        <w:t>3</w:t>
      </w:r>
      <w:r w:rsidRPr="00800BE8">
        <w:rPr>
          <w:rFonts w:ascii="Arial" w:hAnsi="Arial" w:cs="Arial"/>
          <w:kern w:val="0"/>
        </w:rPr>
        <w:t>%, era -0,</w:t>
      </w:r>
      <w:r>
        <w:rPr>
          <w:rFonts w:ascii="Arial" w:hAnsi="Arial" w:cs="Arial"/>
          <w:kern w:val="0"/>
        </w:rPr>
        <w:t>2</w:t>
      </w:r>
      <w:r w:rsidRPr="00800BE8">
        <w:rPr>
          <w:rFonts w:ascii="Arial" w:hAnsi="Arial" w:cs="Arial"/>
          <w:kern w:val="0"/>
        </w:rPr>
        <w:t>% il mese precedente).</w:t>
      </w:r>
      <w:r>
        <w:rPr>
          <w:rFonts w:ascii="Arial" w:hAnsi="Arial" w:cs="Arial"/>
          <w:kern w:val="0"/>
        </w:rPr>
        <w:t xml:space="preserve"> </w:t>
      </w:r>
      <w:r w:rsidRPr="00133F6E">
        <w:rPr>
          <w:rFonts w:ascii="Arial" w:hAnsi="Arial" w:cs="Arial"/>
          <w:kern w:val="0"/>
        </w:rPr>
        <w:t>I prezzi</w:t>
      </w:r>
      <w:r>
        <w:rPr>
          <w:rFonts w:ascii="Arial" w:hAnsi="Arial" w:cs="Arial"/>
          <w:kern w:val="0"/>
        </w:rPr>
        <w:t xml:space="preserve"> dei</w:t>
      </w:r>
      <w:r w:rsidRPr="00133F6E">
        <w:rPr>
          <w:rFonts w:ascii="Arial" w:hAnsi="Arial" w:cs="Arial"/>
          <w:kern w:val="0"/>
        </w:rPr>
        <w:t xml:space="preserve"> </w:t>
      </w:r>
      <w:r>
        <w:rPr>
          <w:rFonts w:ascii="Arial" w:hAnsi="Arial" w:cs="Arial"/>
          <w:kern w:val="0"/>
        </w:rPr>
        <w:t xml:space="preserve">Servizi vari </w:t>
      </w:r>
      <w:r w:rsidRPr="00133F6E">
        <w:rPr>
          <w:rFonts w:ascii="Arial" w:hAnsi="Arial" w:cs="Arial"/>
          <w:kern w:val="0"/>
        </w:rPr>
        <w:t xml:space="preserve">sono fermi </w:t>
      </w:r>
      <w:r>
        <w:rPr>
          <w:rFonts w:ascii="Arial" w:hAnsi="Arial" w:cs="Arial"/>
          <w:kern w:val="0"/>
        </w:rPr>
        <w:t xml:space="preserve">su </w:t>
      </w:r>
      <w:r w:rsidRPr="00133F6E">
        <w:rPr>
          <w:rFonts w:ascii="Arial" w:hAnsi="Arial" w:cs="Arial"/>
          <w:kern w:val="0"/>
        </w:rPr>
        <w:t>base mensile</w:t>
      </w:r>
      <w:r>
        <w:rPr>
          <w:rFonts w:ascii="Arial" w:hAnsi="Arial" w:cs="Arial"/>
          <w:kern w:val="0"/>
        </w:rPr>
        <w:t xml:space="preserve"> e registrano su base annua una crescita stabile e pari a</w:t>
      </w:r>
      <w:r w:rsidRPr="00133F6E">
        <w:rPr>
          <w:rFonts w:ascii="Arial" w:hAnsi="Arial" w:cs="Arial"/>
          <w:kern w:val="0"/>
        </w:rPr>
        <w:t xml:space="preserve"> </w:t>
      </w:r>
      <w:r>
        <w:rPr>
          <w:rFonts w:ascii="Arial" w:hAnsi="Arial" w:cs="Arial"/>
          <w:kern w:val="0"/>
        </w:rPr>
        <w:t>+0,5%.</w:t>
      </w:r>
    </w:p>
    <w:p w:rsidR="00744476" w:rsidRDefault="00744476" w:rsidP="00744476">
      <w:pPr>
        <w:widowControl/>
        <w:overflowPunct/>
        <w:autoSpaceDE/>
        <w:autoSpaceDN/>
        <w:adjustRightInd/>
        <w:spacing w:before="120" w:after="120"/>
        <w:ind w:left="1814"/>
        <w:jc w:val="both"/>
        <w:rPr>
          <w:rFonts w:ascii="Arial" w:hAnsi="Arial" w:cs="Arial"/>
        </w:rPr>
      </w:pPr>
      <w:r w:rsidRPr="00A26801">
        <w:rPr>
          <w:rFonts w:ascii="Arial" w:hAnsi="Arial" w:cs="Arial"/>
        </w:rPr>
        <w:t xml:space="preserve">All’interno </w:t>
      </w:r>
      <w:r w:rsidRPr="0005292D">
        <w:rPr>
          <w:rFonts w:ascii="Arial" w:hAnsi="Arial" w:cs="Arial"/>
          <w:kern w:val="0"/>
        </w:rPr>
        <w:t>delle</w:t>
      </w:r>
      <w:r w:rsidRPr="00A26801">
        <w:rPr>
          <w:rFonts w:ascii="Arial" w:hAnsi="Arial" w:cs="Arial"/>
        </w:rPr>
        <w:t xml:space="preserve"> principali tipologie e a un maggiore livello di dettaglio, per il mese di </w:t>
      </w:r>
      <w:r w:rsidR="00DF25CB">
        <w:rPr>
          <w:rFonts w:ascii="Arial" w:hAnsi="Arial" w:cs="Arial"/>
        </w:rPr>
        <w:t>giugno</w:t>
      </w:r>
      <w:r>
        <w:rPr>
          <w:rFonts w:ascii="Arial" w:hAnsi="Arial" w:cs="Arial"/>
        </w:rPr>
        <w:t xml:space="preserve"> </w:t>
      </w:r>
      <w:r w:rsidRPr="00A26801">
        <w:rPr>
          <w:rFonts w:ascii="Arial" w:hAnsi="Arial" w:cs="Arial"/>
        </w:rPr>
        <w:t>20</w:t>
      </w:r>
      <w:r>
        <w:rPr>
          <w:rFonts w:ascii="Arial" w:hAnsi="Arial" w:cs="Arial"/>
        </w:rPr>
        <w:t>16</w:t>
      </w:r>
      <w:r w:rsidRPr="00A26801">
        <w:rPr>
          <w:rFonts w:ascii="Arial" w:hAnsi="Arial" w:cs="Arial"/>
        </w:rPr>
        <w:t xml:space="preserve"> sono da segnalare le </w:t>
      </w:r>
      <w:r>
        <w:rPr>
          <w:rFonts w:ascii="Arial" w:hAnsi="Arial" w:cs="Arial"/>
        </w:rPr>
        <w:t xml:space="preserve">seguenti </w:t>
      </w:r>
      <w:r w:rsidRPr="00A26801">
        <w:rPr>
          <w:rFonts w:ascii="Arial" w:hAnsi="Arial" w:cs="Arial"/>
        </w:rPr>
        <w:t xml:space="preserve">dinamiche di prezzo: </w:t>
      </w:r>
    </w:p>
    <w:p w:rsidR="00DF25CB" w:rsidRPr="00743E6F" w:rsidRDefault="00744476" w:rsidP="00DF25CB">
      <w:pPr>
        <w:widowControl/>
        <w:numPr>
          <w:ilvl w:val="0"/>
          <w:numId w:val="14"/>
        </w:numPr>
        <w:tabs>
          <w:tab w:val="clear" w:pos="2345"/>
          <w:tab w:val="left" w:pos="2041"/>
        </w:tabs>
        <w:overflowPunct/>
        <w:autoSpaceDE/>
        <w:autoSpaceDN/>
        <w:adjustRightInd/>
        <w:spacing w:before="0" w:after="120"/>
        <w:ind w:left="1814" w:hanging="11"/>
        <w:jc w:val="both"/>
        <w:rPr>
          <w:rFonts w:ascii="Arial" w:hAnsi="Arial" w:cs="Arial"/>
          <w:i/>
        </w:rPr>
      </w:pPr>
      <w:r w:rsidRPr="00DF25CB">
        <w:rPr>
          <w:rFonts w:ascii="Arial" w:hAnsi="Arial" w:cs="Arial"/>
          <w:i/>
        </w:rPr>
        <w:t>Beni alimentari</w:t>
      </w:r>
      <w:r w:rsidRPr="00DF25CB">
        <w:rPr>
          <w:rFonts w:ascii="Arial" w:hAnsi="Arial" w:cs="Arial"/>
        </w:rPr>
        <w:t xml:space="preserve">: </w:t>
      </w:r>
      <w:r w:rsidR="00701336" w:rsidRPr="00743E6F">
        <w:rPr>
          <w:rFonts w:ascii="Arial" w:hAnsi="Arial" w:cs="Arial"/>
        </w:rPr>
        <w:t>il ribasso su base mensile dei prezzi degli Alimentari lavorati è principalmente imputabile alla diminuzione dei prezzi  della Farina e altri cereali (-0,4%, -1,1% su base annua)</w:t>
      </w:r>
      <w:r w:rsidR="00701336">
        <w:rPr>
          <w:rFonts w:ascii="Arial" w:hAnsi="Arial" w:cs="Arial"/>
        </w:rPr>
        <w:t>,</w:t>
      </w:r>
      <w:r w:rsidR="00701336" w:rsidRPr="00743E6F">
        <w:rPr>
          <w:rFonts w:ascii="Arial" w:hAnsi="Arial" w:cs="Arial"/>
        </w:rPr>
        <w:t xml:space="preserve"> </w:t>
      </w:r>
      <w:r w:rsidR="00701336">
        <w:rPr>
          <w:rFonts w:ascii="Arial" w:hAnsi="Arial" w:cs="Arial"/>
        </w:rPr>
        <w:t xml:space="preserve">del </w:t>
      </w:r>
      <w:r w:rsidR="00701336" w:rsidRPr="00743E6F">
        <w:rPr>
          <w:rFonts w:ascii="Arial" w:hAnsi="Arial" w:cs="Arial"/>
        </w:rPr>
        <w:t>Latte scremato (-0,3%) e della Pasta secca, pasta fresca e preparati</w:t>
      </w:r>
      <w:r w:rsidR="00701336">
        <w:rPr>
          <w:rFonts w:ascii="Arial" w:hAnsi="Arial" w:cs="Arial"/>
        </w:rPr>
        <w:t xml:space="preserve"> di</w:t>
      </w:r>
      <w:r w:rsidR="00701336" w:rsidRPr="00743E6F">
        <w:rPr>
          <w:rFonts w:ascii="Arial" w:hAnsi="Arial" w:cs="Arial"/>
        </w:rPr>
        <w:t xml:space="preserve"> pasta (-0,2%, -0,5% </w:t>
      </w:r>
      <w:r w:rsidR="00701336">
        <w:rPr>
          <w:rFonts w:ascii="Arial" w:hAnsi="Arial" w:cs="Arial"/>
        </w:rPr>
        <w:t>rispetto a giugno 2015)</w:t>
      </w:r>
      <w:r w:rsidR="00701336" w:rsidRPr="00743E6F">
        <w:rPr>
          <w:rFonts w:ascii="Arial" w:hAnsi="Arial" w:cs="Arial"/>
        </w:rPr>
        <w:t xml:space="preserve">. Per contro, nello stesso comparto, si rileva un aumento dei prezzi dei Gelati (+0,3%, -1,8% in termini tendenziali) e dei Salumi (+0,2%, +0,4% </w:t>
      </w:r>
      <w:r w:rsidR="00701336">
        <w:rPr>
          <w:rFonts w:ascii="Arial" w:hAnsi="Arial" w:cs="Arial"/>
        </w:rPr>
        <w:t>su base annua</w:t>
      </w:r>
      <w:r w:rsidR="00701336" w:rsidRPr="00743E6F">
        <w:rPr>
          <w:rFonts w:ascii="Arial" w:hAnsi="Arial" w:cs="Arial"/>
        </w:rPr>
        <w:t>). Con riferimento agli Alimentari non lavorati, si segnala l’</w:t>
      </w:r>
      <w:r w:rsidR="00701336">
        <w:rPr>
          <w:rFonts w:ascii="Arial" w:hAnsi="Arial" w:cs="Arial"/>
        </w:rPr>
        <w:t>aumento su base mensile della F</w:t>
      </w:r>
      <w:r w:rsidR="00701336" w:rsidRPr="00743E6F">
        <w:rPr>
          <w:rFonts w:ascii="Arial" w:hAnsi="Arial" w:cs="Arial"/>
        </w:rPr>
        <w:t>rutta fresca (+4,2%, -0,2% su base annua) e la diminuzione congiunturale dei Vegetali freschi (-3,3%, -1,3% in termini tendenziali).</w:t>
      </w:r>
    </w:p>
    <w:p w:rsidR="00701336" w:rsidRDefault="00744476" w:rsidP="00701336">
      <w:pPr>
        <w:widowControl/>
        <w:numPr>
          <w:ilvl w:val="0"/>
          <w:numId w:val="14"/>
        </w:numPr>
        <w:tabs>
          <w:tab w:val="clear" w:pos="2345"/>
          <w:tab w:val="left" w:pos="2041"/>
        </w:tabs>
        <w:overflowPunct/>
        <w:autoSpaceDE/>
        <w:autoSpaceDN/>
        <w:adjustRightInd/>
        <w:spacing w:before="0" w:after="120"/>
        <w:ind w:left="1814" w:hanging="11"/>
        <w:jc w:val="both"/>
        <w:rPr>
          <w:rFonts w:ascii="Arial" w:hAnsi="Arial" w:cs="Arial"/>
        </w:rPr>
      </w:pPr>
      <w:r w:rsidRPr="00DF25CB">
        <w:rPr>
          <w:rFonts w:ascii="Arial" w:hAnsi="Arial" w:cs="Arial"/>
          <w:i/>
        </w:rPr>
        <w:t>Beni energetici</w:t>
      </w:r>
      <w:r w:rsidRPr="00DF25CB">
        <w:rPr>
          <w:rFonts w:ascii="Arial" w:hAnsi="Arial" w:cs="Arial"/>
        </w:rPr>
        <w:t xml:space="preserve">: </w:t>
      </w:r>
      <w:r w:rsidR="00701336" w:rsidRPr="00DF25CB">
        <w:rPr>
          <w:rFonts w:ascii="Arial" w:hAnsi="Arial" w:cs="Arial"/>
        </w:rPr>
        <w:t xml:space="preserve">per quanto riguarda il comparto non regolamentato si rilevano rialzi congiunturali dei prezzi di tutti i carburanti. Si registrano aumenti su base mensile del prezzo della Benzina (+1,9%) che segna, su base annua, un’attenuazione della flessione (-8,1%, era -9,3% il mese precedente). Il prezzo del Gasolio per mezzi di trasporto aumenta rispetto a maggio (+3,6%) e la relativa flessione tendenziale si riduce di 3,3 punti percentuali (-9,8%, da -13,1% di maggio). Anche i prezzi degli Altri carburanti registrano un incremento, anche se più contenuto, </w:t>
      </w:r>
      <w:r w:rsidR="00701336">
        <w:rPr>
          <w:rFonts w:ascii="Arial" w:hAnsi="Arial" w:cs="Arial"/>
        </w:rPr>
        <w:t>s</w:t>
      </w:r>
      <w:r w:rsidR="00701336" w:rsidRPr="00DF25CB">
        <w:rPr>
          <w:rFonts w:ascii="Arial" w:hAnsi="Arial" w:cs="Arial"/>
        </w:rPr>
        <w:t xml:space="preserve">u base mensile (+0,3%) – per effetto del rialzo del GPL – e </w:t>
      </w:r>
      <w:r w:rsidR="00701336">
        <w:rPr>
          <w:rFonts w:ascii="Arial" w:hAnsi="Arial" w:cs="Arial"/>
        </w:rPr>
        <w:t xml:space="preserve">mostrano </w:t>
      </w:r>
      <w:r w:rsidR="00701336" w:rsidRPr="00DF25CB">
        <w:rPr>
          <w:rFonts w:ascii="Arial" w:hAnsi="Arial" w:cs="Arial"/>
        </w:rPr>
        <w:t xml:space="preserve">un ridimensionamento del calo tendenziale di 1,8 punti percentuali (-10,9%, da -12,7% di maggio). Nello stesso comparto, si segnala l’aumento congiunturale del prezzo del Gasolio per riscaldamento (+2,4%) che segna un’attenuazione della flessione su base annua (-10,4%, </w:t>
      </w:r>
      <w:r w:rsidR="00701336">
        <w:rPr>
          <w:rFonts w:ascii="Arial" w:hAnsi="Arial" w:cs="Arial"/>
        </w:rPr>
        <w:t>era</w:t>
      </w:r>
      <w:r w:rsidR="00701336" w:rsidRPr="00DF25CB">
        <w:rPr>
          <w:rFonts w:ascii="Arial" w:hAnsi="Arial" w:cs="Arial"/>
        </w:rPr>
        <w:t xml:space="preserve"> -12,8% </w:t>
      </w:r>
      <w:r w:rsidR="00701336">
        <w:rPr>
          <w:rFonts w:ascii="Arial" w:hAnsi="Arial" w:cs="Arial"/>
        </w:rPr>
        <w:t>i</w:t>
      </w:r>
      <w:r w:rsidR="00701336" w:rsidRPr="00DF25CB">
        <w:rPr>
          <w:rFonts w:ascii="Arial" w:hAnsi="Arial" w:cs="Arial"/>
        </w:rPr>
        <w:t xml:space="preserve">l mese precedente). </w:t>
      </w:r>
    </w:p>
    <w:p w:rsidR="00701336" w:rsidRDefault="00701336" w:rsidP="00701336">
      <w:pPr>
        <w:widowControl/>
        <w:tabs>
          <w:tab w:val="left" w:pos="2041"/>
        </w:tabs>
        <w:overflowPunct/>
        <w:autoSpaceDE/>
        <w:autoSpaceDN/>
        <w:adjustRightInd/>
        <w:spacing w:before="0" w:after="120"/>
        <w:ind w:left="1814"/>
        <w:jc w:val="both"/>
        <w:rPr>
          <w:rFonts w:ascii="Arial" w:hAnsi="Arial" w:cs="Arial"/>
        </w:rPr>
      </w:pPr>
      <w:r w:rsidRPr="00DF25CB">
        <w:rPr>
          <w:rFonts w:ascii="Arial" w:hAnsi="Arial" w:cs="Arial"/>
        </w:rPr>
        <w:t>Nel comparto regolamentato il lieve calo congiunturale è da attribuire alla diminuzione del prezzo del Gas naturale (-0,2%), la cui flessione su base annua si amplia lievemente portandosi a -10,6% da -10,4% di maggio.</w:t>
      </w:r>
    </w:p>
    <w:p w:rsidR="00701336" w:rsidRDefault="00744476" w:rsidP="00701336">
      <w:pPr>
        <w:widowControl/>
        <w:numPr>
          <w:ilvl w:val="0"/>
          <w:numId w:val="14"/>
        </w:numPr>
        <w:tabs>
          <w:tab w:val="clear" w:pos="2345"/>
          <w:tab w:val="left" w:pos="2041"/>
        </w:tabs>
        <w:overflowPunct/>
        <w:autoSpaceDE/>
        <w:autoSpaceDN/>
        <w:adjustRightInd/>
        <w:spacing w:before="0" w:after="120"/>
        <w:ind w:left="1814" w:hanging="11"/>
        <w:jc w:val="both"/>
        <w:rPr>
          <w:rFonts w:ascii="Arial" w:hAnsi="Arial" w:cs="Arial"/>
        </w:rPr>
      </w:pPr>
      <w:r w:rsidRPr="00701336">
        <w:rPr>
          <w:rFonts w:ascii="Arial" w:hAnsi="Arial" w:cs="Arial"/>
          <w:i/>
        </w:rPr>
        <w:t>Altri beni</w:t>
      </w:r>
      <w:r w:rsidRPr="00701336">
        <w:rPr>
          <w:rFonts w:ascii="Arial" w:hAnsi="Arial" w:cs="Arial"/>
        </w:rPr>
        <w:t xml:space="preserve">: </w:t>
      </w:r>
      <w:r w:rsidR="00701336">
        <w:rPr>
          <w:rFonts w:ascii="Arial" w:hAnsi="Arial" w:cs="Arial"/>
        </w:rPr>
        <w:t xml:space="preserve">la dinamica dei prezzi è imputabile in primo luogo all’andamento dei </w:t>
      </w:r>
      <w:r w:rsidR="00701336" w:rsidRPr="00EC3A72">
        <w:rPr>
          <w:rFonts w:ascii="Arial" w:hAnsi="Arial" w:cs="Arial"/>
        </w:rPr>
        <w:t xml:space="preserve">Beni </w:t>
      </w:r>
      <w:r w:rsidR="00701336">
        <w:rPr>
          <w:rFonts w:ascii="Arial" w:hAnsi="Arial" w:cs="Arial"/>
        </w:rPr>
        <w:t>semi</w:t>
      </w:r>
      <w:r w:rsidR="00701336" w:rsidRPr="00EC3A72">
        <w:rPr>
          <w:rFonts w:ascii="Arial" w:hAnsi="Arial" w:cs="Arial"/>
        </w:rPr>
        <w:t xml:space="preserve">durevoli </w:t>
      </w:r>
      <w:r w:rsidR="00701336">
        <w:rPr>
          <w:rFonts w:ascii="Arial" w:hAnsi="Arial" w:cs="Arial"/>
        </w:rPr>
        <w:t>(-0,3% su base mensile; +0,2% su base annua, era +0,4 a maggio), dovuta principalmente alle riduzioni congiunturali dei prezzi dei Supporti con registrazioni di suoni immagini e video (-15,0%; -1,2% in termini tendenziali da +0,5% di maggio) e di Giochi e hobby     (-8,8%; -11,8% su base annua, era -0,1% il mese precedente).</w:t>
      </w:r>
      <w:r w:rsidR="00701336" w:rsidRPr="00EC3A72">
        <w:rPr>
          <w:rFonts w:ascii="Arial" w:hAnsi="Arial" w:cs="Arial"/>
        </w:rPr>
        <w:t xml:space="preserve"> </w:t>
      </w:r>
      <w:r w:rsidR="00701336">
        <w:rPr>
          <w:rFonts w:ascii="Arial" w:hAnsi="Arial" w:cs="Arial"/>
        </w:rPr>
        <w:t xml:space="preserve">Contribuisce a questa dinamica l’andamento dei prezzi </w:t>
      </w:r>
      <w:r w:rsidR="00701336" w:rsidRPr="00EC3A72">
        <w:rPr>
          <w:rFonts w:ascii="Arial" w:hAnsi="Arial" w:cs="Arial"/>
        </w:rPr>
        <w:t xml:space="preserve">dei </w:t>
      </w:r>
      <w:r w:rsidR="00701336" w:rsidRPr="003E0079">
        <w:rPr>
          <w:rFonts w:ascii="Arial" w:hAnsi="Arial" w:cs="Arial"/>
        </w:rPr>
        <w:t xml:space="preserve">Beni </w:t>
      </w:r>
      <w:r w:rsidR="00701336">
        <w:rPr>
          <w:rFonts w:ascii="Arial" w:hAnsi="Arial" w:cs="Arial"/>
        </w:rPr>
        <w:t>d</w:t>
      </w:r>
      <w:r w:rsidR="00701336" w:rsidRPr="003E0079">
        <w:rPr>
          <w:rFonts w:ascii="Arial" w:hAnsi="Arial" w:cs="Arial"/>
        </w:rPr>
        <w:t>urevoli</w:t>
      </w:r>
      <w:r w:rsidR="00701336">
        <w:rPr>
          <w:rFonts w:ascii="Arial" w:hAnsi="Arial" w:cs="Arial"/>
        </w:rPr>
        <w:t xml:space="preserve"> (-0,2% su base mensile; +1,3</w:t>
      </w:r>
      <w:r w:rsidR="00701336" w:rsidRPr="003E0079">
        <w:rPr>
          <w:rFonts w:ascii="Arial" w:hAnsi="Arial" w:cs="Arial"/>
        </w:rPr>
        <w:t>%</w:t>
      </w:r>
      <w:r w:rsidR="00701336">
        <w:rPr>
          <w:rFonts w:ascii="Arial" w:hAnsi="Arial" w:cs="Arial"/>
        </w:rPr>
        <w:t xml:space="preserve"> in termini tendenziali, da +1,7% del mese precedente), tra i quali si segnalano i ribassi congiunturali degli</w:t>
      </w:r>
      <w:r w:rsidR="00701336" w:rsidRPr="00EC3A72">
        <w:rPr>
          <w:rFonts w:ascii="Arial" w:hAnsi="Arial" w:cs="Arial"/>
        </w:rPr>
        <w:t xml:space="preserve"> Apparecchi per la telefonia mobile</w:t>
      </w:r>
      <w:r w:rsidR="00701336">
        <w:rPr>
          <w:rFonts w:ascii="Arial" w:hAnsi="Arial" w:cs="Arial"/>
        </w:rPr>
        <w:t xml:space="preserve"> (-3,1%; +10,5% su base annua, da +12% di maggio) e delle Automobili nuove      (-0,3%, la variazione è nulla su base annua).</w:t>
      </w:r>
    </w:p>
    <w:p w:rsidR="00F50396" w:rsidRPr="00701336" w:rsidRDefault="00F50396" w:rsidP="00701336">
      <w:pPr>
        <w:widowControl/>
        <w:tabs>
          <w:tab w:val="left" w:pos="2041"/>
        </w:tabs>
        <w:overflowPunct/>
        <w:autoSpaceDE/>
        <w:autoSpaceDN/>
        <w:adjustRightInd/>
        <w:spacing w:before="0" w:after="120"/>
        <w:ind w:left="1814"/>
        <w:jc w:val="both"/>
        <w:rPr>
          <w:rFonts w:ascii="Arial" w:hAnsi="Arial" w:cs="Arial"/>
        </w:rPr>
      </w:pPr>
    </w:p>
    <w:p w:rsidR="00664937" w:rsidRDefault="00744476" w:rsidP="00664937">
      <w:pPr>
        <w:pStyle w:val="Paragrafoelenco"/>
        <w:numPr>
          <w:ilvl w:val="0"/>
          <w:numId w:val="14"/>
        </w:numPr>
        <w:tabs>
          <w:tab w:val="left" w:pos="2041"/>
        </w:tabs>
        <w:spacing w:after="0"/>
        <w:ind w:left="1814" w:hanging="11"/>
        <w:contextualSpacing w:val="0"/>
        <w:jc w:val="both"/>
        <w:rPr>
          <w:rFonts w:ascii="Arial" w:hAnsi="Arial" w:cs="Arial"/>
          <w:kern w:val="0"/>
        </w:rPr>
      </w:pPr>
      <w:r w:rsidRPr="00860926">
        <w:rPr>
          <w:rFonts w:ascii="Arial" w:hAnsi="Arial" w:cs="Arial"/>
          <w:i/>
          <w:kern w:val="0"/>
        </w:rPr>
        <w:lastRenderedPageBreak/>
        <w:t>Servizi</w:t>
      </w:r>
      <w:r w:rsidRPr="00860926">
        <w:rPr>
          <w:rFonts w:ascii="Arial" w:hAnsi="Arial" w:cs="Arial"/>
          <w:kern w:val="0"/>
        </w:rPr>
        <w:t xml:space="preserve">: </w:t>
      </w:r>
      <w:r w:rsidR="00664937" w:rsidRPr="005025FF">
        <w:rPr>
          <w:rFonts w:ascii="Arial" w:hAnsi="Arial" w:cs="Arial"/>
          <w:kern w:val="0"/>
        </w:rPr>
        <w:t xml:space="preserve">il rialzo su base mensile dei prezzi dei Servizi ricreativi, culturali e per la cura della persona è in larga parte imputabile all’aumento – su cui incidono fattori stagionali – dei prezzi di quasi tutti i servizi turistici: i prezzi dei Villaggi vacanza, campeggi, ostelli della gioventù e simili registrano un incremento congiunturale del 9,4% e quelli dei Pacchetti vacanza del 4,3%; entrambi a giugno 2015 avevano registrato aumenti congiunturali più marcati e pertanto, su base annua, </w:t>
      </w:r>
      <w:r w:rsidR="00664937">
        <w:rPr>
          <w:rFonts w:ascii="Arial" w:hAnsi="Arial" w:cs="Arial"/>
          <w:kern w:val="0"/>
        </w:rPr>
        <w:t xml:space="preserve">per i </w:t>
      </w:r>
      <w:r w:rsidR="00664937" w:rsidRPr="005025FF">
        <w:rPr>
          <w:rFonts w:ascii="Arial" w:hAnsi="Arial" w:cs="Arial"/>
          <w:kern w:val="0"/>
        </w:rPr>
        <w:t xml:space="preserve">i primi </w:t>
      </w:r>
      <w:r w:rsidR="00664937">
        <w:rPr>
          <w:rFonts w:ascii="Arial" w:hAnsi="Arial" w:cs="Arial"/>
          <w:kern w:val="0"/>
        </w:rPr>
        <w:t xml:space="preserve">si </w:t>
      </w:r>
      <w:r w:rsidR="00664937" w:rsidRPr="005025FF">
        <w:rPr>
          <w:rFonts w:ascii="Arial" w:hAnsi="Arial" w:cs="Arial"/>
          <w:kern w:val="0"/>
        </w:rPr>
        <w:t xml:space="preserve">registra un rallentamento della crescita (+1,9%, da +3,1% di maggio) e </w:t>
      </w:r>
      <w:r w:rsidR="00664937">
        <w:rPr>
          <w:rFonts w:ascii="Arial" w:hAnsi="Arial" w:cs="Arial"/>
          <w:kern w:val="0"/>
        </w:rPr>
        <w:t xml:space="preserve">per </w:t>
      </w:r>
      <w:r w:rsidR="00664937" w:rsidRPr="005025FF">
        <w:rPr>
          <w:rFonts w:ascii="Arial" w:hAnsi="Arial" w:cs="Arial"/>
          <w:kern w:val="0"/>
        </w:rPr>
        <w:t xml:space="preserve">i secondi </w:t>
      </w:r>
      <w:r w:rsidR="00664937">
        <w:rPr>
          <w:rFonts w:ascii="Arial" w:hAnsi="Arial" w:cs="Arial"/>
          <w:kern w:val="0"/>
        </w:rPr>
        <w:t>la</w:t>
      </w:r>
      <w:r w:rsidR="00664937" w:rsidRPr="005025FF">
        <w:rPr>
          <w:rFonts w:ascii="Arial" w:hAnsi="Arial" w:cs="Arial"/>
          <w:kern w:val="0"/>
        </w:rPr>
        <w:t xml:space="preserve"> flessione </w:t>
      </w:r>
      <w:r w:rsidR="00664937">
        <w:rPr>
          <w:rFonts w:ascii="Arial" w:hAnsi="Arial" w:cs="Arial"/>
          <w:kern w:val="0"/>
        </w:rPr>
        <w:t xml:space="preserve">si amplia </w:t>
      </w:r>
      <w:r w:rsidR="00664937" w:rsidRPr="00636601">
        <w:rPr>
          <w:rFonts w:ascii="Arial" w:hAnsi="Arial" w:cs="Arial"/>
          <w:kern w:val="0"/>
        </w:rPr>
        <w:t xml:space="preserve">(-1,3%, era -0,6% </w:t>
      </w:r>
      <w:r w:rsidR="00664937">
        <w:rPr>
          <w:rFonts w:ascii="Arial" w:hAnsi="Arial" w:cs="Arial"/>
          <w:kern w:val="0"/>
        </w:rPr>
        <w:t>il mese precedente)</w:t>
      </w:r>
      <w:r w:rsidR="00664937" w:rsidRPr="005025FF">
        <w:rPr>
          <w:rFonts w:ascii="Arial" w:hAnsi="Arial" w:cs="Arial"/>
          <w:kern w:val="0"/>
        </w:rPr>
        <w:t xml:space="preserve">. Nello stesso settore, </w:t>
      </w:r>
      <w:r w:rsidR="00664937">
        <w:rPr>
          <w:rFonts w:ascii="Arial" w:hAnsi="Arial" w:cs="Arial"/>
          <w:kern w:val="0"/>
        </w:rPr>
        <w:t xml:space="preserve">i prezzi </w:t>
      </w:r>
      <w:r w:rsidR="00664937" w:rsidRPr="005025FF">
        <w:rPr>
          <w:rFonts w:ascii="Arial" w:hAnsi="Arial" w:cs="Arial"/>
          <w:kern w:val="0"/>
        </w:rPr>
        <w:t>di Alberghi, motel, pensioni e simili diminuiscono dello 0,5% su base mensile</w:t>
      </w:r>
      <w:r w:rsidR="00664937" w:rsidRPr="0073439F">
        <w:rPr>
          <w:rFonts w:ascii="Arial" w:hAnsi="Arial" w:cs="Arial"/>
          <w:kern w:val="0"/>
        </w:rPr>
        <w:t xml:space="preserve"> </w:t>
      </w:r>
      <w:r w:rsidR="00664937" w:rsidRPr="005025FF">
        <w:rPr>
          <w:rFonts w:ascii="Arial" w:hAnsi="Arial" w:cs="Arial"/>
          <w:kern w:val="0"/>
        </w:rPr>
        <w:t>e segnano un’accentuazione della flessione tendenziale</w:t>
      </w:r>
      <w:r w:rsidR="00664937">
        <w:rPr>
          <w:rFonts w:ascii="Arial" w:hAnsi="Arial" w:cs="Arial"/>
          <w:kern w:val="0"/>
        </w:rPr>
        <w:t xml:space="preserve"> (-2,3%, da -1,7% di maggio)</w:t>
      </w:r>
      <w:r w:rsidR="00664937" w:rsidRPr="005025FF">
        <w:rPr>
          <w:rFonts w:ascii="Arial" w:hAnsi="Arial" w:cs="Arial"/>
          <w:kern w:val="0"/>
        </w:rPr>
        <w:t xml:space="preserve">. </w:t>
      </w:r>
    </w:p>
    <w:p w:rsidR="00664937" w:rsidRPr="0073439F" w:rsidRDefault="00664937" w:rsidP="00664937">
      <w:pPr>
        <w:pStyle w:val="Paragrafoelenco"/>
        <w:tabs>
          <w:tab w:val="left" w:pos="2041"/>
        </w:tabs>
        <w:spacing w:after="0"/>
        <w:ind w:left="1843"/>
        <w:contextualSpacing w:val="0"/>
        <w:jc w:val="both"/>
        <w:rPr>
          <w:rFonts w:ascii="Arial" w:hAnsi="Arial" w:cs="Arial"/>
          <w:kern w:val="0"/>
        </w:rPr>
      </w:pPr>
      <w:r w:rsidRPr="0073439F">
        <w:rPr>
          <w:rFonts w:ascii="Arial" w:hAnsi="Arial" w:cs="Arial"/>
          <w:kern w:val="0"/>
        </w:rPr>
        <w:t>Il rialzo su base mensile dei prezzi dei Servizi relativi ai trasporti – su cui incidono fattori stagionali –  è da ascrivere principalmente all’aumento dei prezzi del Trasporto aereo passeggeri (+2,3%) che</w:t>
      </w:r>
      <w:r>
        <w:rPr>
          <w:rFonts w:ascii="Arial" w:hAnsi="Arial" w:cs="Arial"/>
          <w:kern w:val="0"/>
        </w:rPr>
        <w:t>, tuttavia,</w:t>
      </w:r>
      <w:r w:rsidRPr="0073439F">
        <w:rPr>
          <w:rFonts w:ascii="Arial" w:hAnsi="Arial" w:cs="Arial"/>
          <w:kern w:val="0"/>
        </w:rPr>
        <w:t xml:space="preserve"> su base annua registra un’accentuazione della flessione (-6,0%, da -3,3% di maggio) per effetto del confronto con giugno 2015 quando si era </w:t>
      </w:r>
      <w:r>
        <w:rPr>
          <w:rFonts w:ascii="Arial" w:hAnsi="Arial" w:cs="Arial"/>
          <w:kern w:val="0"/>
        </w:rPr>
        <w:t>avuto</w:t>
      </w:r>
      <w:r w:rsidRPr="0073439F">
        <w:rPr>
          <w:rFonts w:ascii="Arial" w:hAnsi="Arial" w:cs="Arial"/>
          <w:kern w:val="0"/>
        </w:rPr>
        <w:t xml:space="preserve"> un aumento congiunturale più marcato (+5,2%). Anche i prezzi del Trasporto ferroviario passeggeri aumentano su base mensile (+0,4%) e, su base annua, </w:t>
      </w:r>
      <w:r>
        <w:rPr>
          <w:rFonts w:ascii="Arial" w:hAnsi="Arial" w:cs="Arial"/>
          <w:kern w:val="0"/>
        </w:rPr>
        <w:t>registrano</w:t>
      </w:r>
      <w:r w:rsidRPr="0073439F">
        <w:rPr>
          <w:rFonts w:ascii="Arial" w:hAnsi="Arial" w:cs="Arial"/>
          <w:kern w:val="0"/>
        </w:rPr>
        <w:t xml:space="preserve"> un’inversione di tendenza (+2,9%, era -3,0% il mese precedente). </w:t>
      </w:r>
    </w:p>
    <w:p w:rsidR="00664937" w:rsidRDefault="00664937" w:rsidP="00664937">
      <w:pPr>
        <w:widowControl/>
        <w:tabs>
          <w:tab w:val="left" w:pos="2041"/>
        </w:tabs>
        <w:overflowPunct/>
        <w:autoSpaceDE/>
        <w:autoSpaceDN/>
        <w:adjustRightInd/>
        <w:spacing w:after="0"/>
        <w:ind w:left="1814"/>
        <w:jc w:val="both"/>
        <w:rPr>
          <w:rFonts w:ascii="Arial" w:hAnsi="Arial" w:cs="Arial"/>
          <w:kern w:val="0"/>
        </w:rPr>
      </w:pPr>
      <w:r>
        <w:rPr>
          <w:rFonts w:ascii="Arial" w:hAnsi="Arial" w:cs="Arial"/>
          <w:kern w:val="0"/>
        </w:rPr>
        <w:t>Con riferimento ai</w:t>
      </w:r>
      <w:r w:rsidRPr="005025FF">
        <w:rPr>
          <w:rFonts w:ascii="Arial" w:hAnsi="Arial" w:cs="Arial"/>
          <w:kern w:val="0"/>
        </w:rPr>
        <w:t xml:space="preserve"> Servizi relativi all’abitazione </w:t>
      </w:r>
      <w:r>
        <w:rPr>
          <w:rFonts w:ascii="Arial" w:hAnsi="Arial" w:cs="Arial"/>
          <w:kern w:val="0"/>
        </w:rPr>
        <w:t>si segnalano i lievi aumenti</w:t>
      </w:r>
      <w:r w:rsidRPr="005025FF">
        <w:rPr>
          <w:rFonts w:ascii="Arial" w:hAnsi="Arial" w:cs="Arial"/>
          <w:kern w:val="0"/>
        </w:rPr>
        <w:t xml:space="preserve"> congiuntural</w:t>
      </w:r>
      <w:r>
        <w:rPr>
          <w:rFonts w:ascii="Arial" w:hAnsi="Arial" w:cs="Arial"/>
          <w:kern w:val="0"/>
        </w:rPr>
        <w:t>i</w:t>
      </w:r>
      <w:r w:rsidRPr="005025FF">
        <w:rPr>
          <w:rFonts w:ascii="Arial" w:hAnsi="Arial" w:cs="Arial"/>
          <w:kern w:val="0"/>
        </w:rPr>
        <w:t xml:space="preserve"> dei prezzi </w:t>
      </w:r>
      <w:r>
        <w:rPr>
          <w:rFonts w:ascii="Arial" w:hAnsi="Arial" w:cs="Arial"/>
          <w:kern w:val="0"/>
        </w:rPr>
        <w:t xml:space="preserve">della Raccolta rifiuti e </w:t>
      </w:r>
      <w:r w:rsidRPr="005025FF">
        <w:rPr>
          <w:rFonts w:ascii="Arial" w:hAnsi="Arial" w:cs="Arial"/>
          <w:kern w:val="0"/>
        </w:rPr>
        <w:t>della Raccolta acque reflue (+0,</w:t>
      </w:r>
      <w:r>
        <w:rPr>
          <w:rFonts w:ascii="Arial" w:hAnsi="Arial" w:cs="Arial"/>
          <w:kern w:val="0"/>
        </w:rPr>
        <w:t>1</w:t>
      </w:r>
      <w:r w:rsidRPr="005025FF">
        <w:rPr>
          <w:rFonts w:ascii="Arial" w:hAnsi="Arial" w:cs="Arial"/>
          <w:kern w:val="0"/>
        </w:rPr>
        <w:t>%)</w:t>
      </w:r>
      <w:r>
        <w:rPr>
          <w:rFonts w:ascii="Arial" w:hAnsi="Arial" w:cs="Arial"/>
          <w:kern w:val="0"/>
        </w:rPr>
        <w:t xml:space="preserve">. Su base annua i primi mostrano una crescita tendenziale stabile allo 0,8% e i secondi un rallentamento della crescita (+3,0%, da +3,3% di maggio) su cui incide il confronto con giugno 2015 quando l’aumento congiunturale era stato più marcato e pari </w:t>
      </w:r>
      <w:r w:rsidRPr="00636601">
        <w:rPr>
          <w:rFonts w:ascii="Arial" w:hAnsi="Arial" w:cs="Arial"/>
          <w:kern w:val="0"/>
        </w:rPr>
        <w:t>a  +0,4%.</w:t>
      </w:r>
      <w:r w:rsidRPr="005025FF">
        <w:rPr>
          <w:rFonts w:ascii="Arial" w:hAnsi="Arial" w:cs="Arial"/>
          <w:kern w:val="0"/>
        </w:rPr>
        <w:t xml:space="preserve"> </w:t>
      </w:r>
    </w:p>
    <w:p w:rsidR="00664937" w:rsidRPr="003E0079" w:rsidRDefault="00664937" w:rsidP="00664937">
      <w:pPr>
        <w:widowControl/>
        <w:tabs>
          <w:tab w:val="left" w:pos="2041"/>
        </w:tabs>
        <w:overflowPunct/>
        <w:autoSpaceDE/>
        <w:autoSpaceDN/>
        <w:adjustRightInd/>
        <w:spacing w:after="0"/>
        <w:ind w:left="1814"/>
        <w:jc w:val="both"/>
        <w:rPr>
          <w:rFonts w:ascii="Arial" w:hAnsi="Arial" w:cs="Arial"/>
          <w:kern w:val="0"/>
        </w:rPr>
      </w:pPr>
      <w:r>
        <w:rPr>
          <w:rFonts w:ascii="Arial" w:hAnsi="Arial" w:cs="Arial"/>
          <w:kern w:val="0"/>
        </w:rPr>
        <w:t>Infine, per quanto riguarda i Servizi relativi alle comunicazioni, si segnalano le diminuzioni congiunturali dei prezzi dei Servizi di telefonia fissa (-1,6% su base sia congiunturale sia tendenziale) e gli aumenti di quelli dei Servizi di telecomunicazione bundle (+0,7%) e della Connessione internet e altri servizi (+0,2%, +1,6% su base annua).</w:t>
      </w:r>
    </w:p>
    <w:p w:rsidR="003E0079" w:rsidRPr="003E0079" w:rsidRDefault="003E0079" w:rsidP="00664937">
      <w:pPr>
        <w:pStyle w:val="Paragrafoelenco"/>
        <w:tabs>
          <w:tab w:val="left" w:pos="2041"/>
        </w:tabs>
        <w:spacing w:after="0"/>
        <w:ind w:left="1814"/>
        <w:contextualSpacing w:val="0"/>
        <w:jc w:val="both"/>
        <w:rPr>
          <w:rFonts w:ascii="Arial" w:hAnsi="Arial" w:cs="Arial"/>
          <w:kern w:val="0"/>
        </w:rPr>
      </w:pPr>
    </w:p>
    <w:p w:rsidR="00995D65" w:rsidRDefault="0005292D" w:rsidP="003E0079">
      <w:pPr>
        <w:pStyle w:val="Titolo1"/>
        <w:ind w:left="1814"/>
        <w:rPr>
          <w:rFonts w:ascii="Arial" w:hAnsi="Arial" w:cs="Arial"/>
          <w:b w:val="0"/>
        </w:rPr>
      </w:pPr>
      <w:r w:rsidRPr="0005292D">
        <w:rPr>
          <w:rFonts w:ascii="Arial" w:hAnsi="Arial" w:cs="Arial"/>
          <w:sz w:val="20"/>
        </w:rPr>
        <w:t>I prodotti per frequenza di acquisto</w:t>
      </w:r>
    </w:p>
    <w:p w:rsidR="00DF25CB" w:rsidRPr="00E34943" w:rsidRDefault="00DF25CB" w:rsidP="00DF25CB">
      <w:pPr>
        <w:tabs>
          <w:tab w:val="left" w:pos="2041"/>
        </w:tabs>
        <w:spacing w:before="0" w:after="120"/>
        <w:ind w:left="1797"/>
        <w:jc w:val="both"/>
        <w:rPr>
          <w:rFonts w:ascii="Arial" w:hAnsi="Arial" w:cs="Arial"/>
        </w:rPr>
      </w:pPr>
      <w:r w:rsidRPr="00E34943">
        <w:rPr>
          <w:rFonts w:ascii="Arial" w:hAnsi="Arial" w:cs="Arial"/>
        </w:rPr>
        <w:t>A giugno, i prezzi dei prodotti acquistati con maggiore frequenza aumentano dello 0,3% rispetto al mese precedente, a causa principalmente delle variazioni in aumento dei prezzi della Frutta fresca, della Benzina</w:t>
      </w:r>
      <w:r w:rsidR="007F42FB">
        <w:rPr>
          <w:rFonts w:ascii="Arial" w:hAnsi="Arial" w:cs="Arial"/>
        </w:rPr>
        <w:t xml:space="preserve"> e</w:t>
      </w:r>
      <w:r w:rsidRPr="00E34943">
        <w:rPr>
          <w:rFonts w:ascii="Arial" w:hAnsi="Arial" w:cs="Arial"/>
        </w:rPr>
        <w:t xml:space="preserve"> del Gasolio per mezzi di trasporto</w:t>
      </w:r>
      <w:r w:rsidR="007F42FB">
        <w:rPr>
          <w:rFonts w:ascii="Arial" w:hAnsi="Arial" w:cs="Arial"/>
        </w:rPr>
        <w:t>,</w:t>
      </w:r>
      <w:r w:rsidRPr="00E34943">
        <w:rPr>
          <w:rFonts w:ascii="Arial" w:hAnsi="Arial" w:cs="Arial"/>
        </w:rPr>
        <w:t xml:space="preserve"> e registrano una diminuzione</w:t>
      </w:r>
      <w:r w:rsidR="007F42FB">
        <w:rPr>
          <w:rFonts w:ascii="Arial" w:hAnsi="Arial" w:cs="Arial"/>
        </w:rPr>
        <w:t xml:space="preserve"> su base annua</w:t>
      </w:r>
      <w:r w:rsidRPr="00E34943">
        <w:rPr>
          <w:rFonts w:ascii="Arial" w:hAnsi="Arial" w:cs="Arial"/>
        </w:rPr>
        <w:t xml:space="preserve"> dello 0,3% (era -0,6% a maggio) (Prospetto 3 e Figura 2).</w:t>
      </w:r>
    </w:p>
    <w:p w:rsidR="00DF25CB" w:rsidRDefault="00DF25CB" w:rsidP="00DF25CB">
      <w:pPr>
        <w:tabs>
          <w:tab w:val="left" w:pos="2041"/>
        </w:tabs>
        <w:spacing w:before="0" w:after="120"/>
        <w:ind w:left="1797"/>
        <w:jc w:val="both"/>
        <w:rPr>
          <w:rFonts w:ascii="Arial" w:hAnsi="Arial" w:cs="Arial"/>
        </w:rPr>
      </w:pPr>
      <w:r w:rsidRPr="00E34943">
        <w:rPr>
          <w:rFonts w:ascii="Arial" w:hAnsi="Arial" w:cs="Arial"/>
        </w:rPr>
        <w:t xml:space="preserve">I prezzi dei prodotti a bassa frequenza di acquisto </w:t>
      </w:r>
      <w:r w:rsidR="007F42FB">
        <w:rPr>
          <w:rFonts w:ascii="Arial" w:hAnsi="Arial" w:cs="Arial"/>
        </w:rPr>
        <w:t>diminuiscono</w:t>
      </w:r>
      <w:r w:rsidRPr="00E34943">
        <w:rPr>
          <w:rFonts w:ascii="Arial" w:hAnsi="Arial" w:cs="Arial"/>
        </w:rPr>
        <w:t xml:space="preserve"> dello 0,3% su base mensile e fanno registrare una crescita tendenziale dello 0,8% (era +1,1% a maggio). I prezzi dei prodotti a media frequenza di acquisto aumentano dello 0,1% in termini congiunturali e diminuiscono dello 0,7% su base annua (era -0,6% il mese precedente).</w:t>
      </w:r>
      <w:r w:rsidRPr="00DC3D23">
        <w:rPr>
          <w:rFonts w:ascii="Arial" w:hAnsi="Arial" w:cs="Arial"/>
        </w:rPr>
        <w:t xml:space="preserve"> </w:t>
      </w:r>
    </w:p>
    <w:p w:rsidR="000F4D00" w:rsidRPr="00EA0885" w:rsidRDefault="000F4D00" w:rsidP="003E0079">
      <w:pPr>
        <w:tabs>
          <w:tab w:val="left" w:pos="2041"/>
        </w:tabs>
        <w:spacing w:before="360" w:after="160"/>
        <w:ind w:left="1800"/>
        <w:jc w:val="both"/>
        <w:rPr>
          <w:rFonts w:ascii="Arial Narrow" w:hAnsi="Arial Narrow" w:cs="Arial"/>
          <w:sz w:val="19"/>
          <w:szCs w:val="19"/>
        </w:rPr>
      </w:pPr>
      <w:r w:rsidRPr="009D11E4">
        <w:rPr>
          <w:rFonts w:ascii="Arial Narrow" w:hAnsi="Arial Narrow" w:cs="Arial"/>
          <w:b/>
          <w:color w:val="5F5F5F"/>
        </w:rPr>
        <w:t xml:space="preserve">PROSPETTO </w:t>
      </w:r>
      <w:r w:rsidR="00275BF2">
        <w:rPr>
          <w:rFonts w:ascii="Arial Narrow" w:hAnsi="Arial Narrow" w:cs="Arial"/>
          <w:b/>
          <w:color w:val="5F5F5F"/>
        </w:rPr>
        <w:t>3</w:t>
      </w:r>
      <w:r w:rsidRPr="009D11E4">
        <w:rPr>
          <w:rFonts w:ascii="Arial Narrow" w:hAnsi="Arial Narrow" w:cs="Arial"/>
          <w:b/>
          <w:color w:val="5F5F5F"/>
        </w:rPr>
        <w:t>. INDICI DEI PREZZI AL CONSUMO NIC, PER PRODOTTI A DIVERSA FREQUENZA DI ACQUISTO</w:t>
      </w:r>
      <w:r w:rsidRPr="009D11E4">
        <w:rPr>
          <w:rFonts w:ascii="Arial Narrow" w:hAnsi="Arial Narrow" w:cs="Arial"/>
          <w:b/>
          <w:color w:val="5F5F5F"/>
        </w:rPr>
        <w:br/>
      </w:r>
      <w:r w:rsidR="007C6923">
        <w:rPr>
          <w:rFonts w:ascii="Arial Narrow" w:hAnsi="Arial Narrow" w:cs="Arial"/>
          <w:sz w:val="19"/>
          <w:szCs w:val="19"/>
        </w:rPr>
        <w:t>Giugno</w:t>
      </w:r>
      <w:r w:rsidR="00991F38">
        <w:rPr>
          <w:rFonts w:ascii="Arial Narrow" w:hAnsi="Arial Narrow" w:cs="Arial"/>
          <w:sz w:val="19"/>
          <w:szCs w:val="19"/>
        </w:rPr>
        <w:t xml:space="preserve"> 201</w:t>
      </w:r>
      <w:r w:rsidR="00B66CA0">
        <w:rPr>
          <w:rFonts w:ascii="Arial Narrow" w:hAnsi="Arial Narrow" w:cs="Arial"/>
          <w:sz w:val="19"/>
          <w:szCs w:val="19"/>
        </w:rPr>
        <w:t>6</w:t>
      </w:r>
      <w:r w:rsidRPr="009D11E4">
        <w:rPr>
          <w:rFonts w:ascii="Arial Narrow" w:hAnsi="Arial Narrow" w:cs="Arial"/>
          <w:sz w:val="19"/>
          <w:szCs w:val="19"/>
        </w:rPr>
        <w:t>, variazioni percentuali</w:t>
      </w:r>
      <w:r>
        <w:rPr>
          <w:rFonts w:ascii="Arial Narrow" w:hAnsi="Arial Narrow" w:cs="Arial"/>
          <w:sz w:val="19"/>
          <w:szCs w:val="19"/>
        </w:rPr>
        <w:t xml:space="preserve"> (base 201</w:t>
      </w:r>
      <w:r w:rsidR="009B104A">
        <w:rPr>
          <w:rFonts w:ascii="Arial Narrow" w:hAnsi="Arial Narrow" w:cs="Arial"/>
          <w:sz w:val="19"/>
          <w:szCs w:val="19"/>
        </w:rPr>
        <w:t>5</w:t>
      </w:r>
      <w:r>
        <w:rPr>
          <w:rFonts w:ascii="Arial Narrow" w:hAnsi="Arial Narrow" w:cs="Arial"/>
          <w:sz w:val="19"/>
          <w:szCs w:val="19"/>
        </w:rPr>
        <w:t>=100)</w:t>
      </w:r>
      <w:r w:rsidR="0091710B">
        <w:rPr>
          <w:rFonts w:ascii="Arial Narrow" w:hAnsi="Arial Narrow" w:cs="Arial"/>
          <w:sz w:val="19"/>
          <w:szCs w:val="19"/>
        </w:rPr>
        <w:t xml:space="preserve"> </w:t>
      </w:r>
      <w:r w:rsidR="002A6DAE" w:rsidRPr="008D669E">
        <w:rPr>
          <w:rFonts w:ascii="Arial Narrow" w:hAnsi="Arial Narrow" w:cs="Arial"/>
          <w:sz w:val="19"/>
          <w:szCs w:val="19"/>
        </w:rPr>
        <w:t>(a)</w:t>
      </w:r>
    </w:p>
    <w:tbl>
      <w:tblPr>
        <w:tblW w:w="8649" w:type="dxa"/>
        <w:tblInd w:w="1913" w:type="dxa"/>
        <w:tblBorders>
          <w:top w:val="single" w:sz="6" w:space="0" w:color="808080"/>
          <w:bottom w:val="single" w:sz="6" w:space="0" w:color="808080"/>
          <w:insideH w:val="single" w:sz="6" w:space="0" w:color="808080"/>
        </w:tblBorders>
        <w:tblCellMar>
          <w:left w:w="85" w:type="dxa"/>
          <w:right w:w="85" w:type="dxa"/>
        </w:tblCellMar>
        <w:tblLook w:val="0000" w:firstRow="0" w:lastRow="0" w:firstColumn="0" w:lastColumn="0" w:noHBand="0" w:noVBand="0"/>
      </w:tblPr>
      <w:tblGrid>
        <w:gridCol w:w="2736"/>
        <w:gridCol w:w="1129"/>
        <w:gridCol w:w="930"/>
        <w:gridCol w:w="928"/>
        <w:gridCol w:w="929"/>
        <w:gridCol w:w="929"/>
        <w:gridCol w:w="1068"/>
      </w:tblGrid>
      <w:tr w:rsidR="004C2506" w:rsidRPr="00E224EF" w:rsidTr="00E224EF">
        <w:trPr>
          <w:trHeight w:val="219"/>
        </w:trPr>
        <w:tc>
          <w:tcPr>
            <w:tcW w:w="2736" w:type="dxa"/>
            <w:vMerge w:val="restart"/>
            <w:vAlign w:val="center"/>
          </w:tcPr>
          <w:p w:rsidR="004C2506" w:rsidRPr="00E224EF" w:rsidRDefault="004C2506" w:rsidP="00E224EF">
            <w:pPr>
              <w:widowControl/>
              <w:overflowPunct/>
              <w:autoSpaceDE/>
              <w:autoSpaceDN/>
              <w:adjustRightInd/>
              <w:spacing w:before="40" w:after="20"/>
              <w:ind w:left="-57"/>
              <w:rPr>
                <w:rFonts w:ascii="Arial Narrow" w:hAnsi="Arial Narrow" w:cs="Arial"/>
                <w:kern w:val="0"/>
                <w:sz w:val="18"/>
                <w:szCs w:val="18"/>
              </w:rPr>
            </w:pPr>
            <w:r w:rsidRPr="00E224EF">
              <w:rPr>
                <w:rFonts w:ascii="Arial Narrow" w:hAnsi="Arial Narrow" w:cs="Arial"/>
                <w:b/>
                <w:bCs/>
                <w:kern w:val="0"/>
                <w:sz w:val="18"/>
                <w:szCs w:val="18"/>
              </w:rPr>
              <w:t>Tipologie di prodotto</w:t>
            </w:r>
          </w:p>
        </w:tc>
        <w:tc>
          <w:tcPr>
            <w:tcW w:w="1129" w:type="dxa"/>
            <w:vMerge w:val="restart"/>
            <w:shd w:val="clear" w:color="auto" w:fill="E6E6E6"/>
            <w:vAlign w:val="center"/>
          </w:tcPr>
          <w:p w:rsidR="004C2506" w:rsidRPr="00E224EF" w:rsidRDefault="004C2506" w:rsidP="00E224EF">
            <w:pPr>
              <w:widowControl/>
              <w:overflowPunct/>
              <w:autoSpaceDE/>
              <w:autoSpaceDN/>
              <w:adjustRightInd/>
              <w:spacing w:before="40" w:after="20"/>
              <w:jc w:val="center"/>
              <w:rPr>
                <w:rFonts w:ascii="Arial Narrow" w:hAnsi="Arial Narrow" w:cs="Arial"/>
                <w:kern w:val="0"/>
                <w:sz w:val="18"/>
                <w:szCs w:val="18"/>
              </w:rPr>
            </w:pPr>
            <w:r w:rsidRPr="00E224EF">
              <w:rPr>
                <w:rFonts w:ascii="Arial Narrow" w:hAnsi="Arial Narrow" w:cs="Arial"/>
                <w:b/>
                <w:bCs/>
                <w:kern w:val="0"/>
                <w:sz w:val="18"/>
                <w:szCs w:val="18"/>
              </w:rPr>
              <w:t>Pesi</w:t>
            </w:r>
          </w:p>
        </w:tc>
        <w:tc>
          <w:tcPr>
            <w:tcW w:w="930"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928"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929"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mag-16</w:t>
            </w:r>
          </w:p>
        </w:tc>
        <w:tc>
          <w:tcPr>
            <w:tcW w:w="929"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Pr="007E6455">
              <w:rPr>
                <w:rFonts w:ascii="Arial Narrow" w:hAnsi="Arial Narrow" w:cs="Arial"/>
                <w:b/>
                <w:bCs/>
                <w:snapToGrid w:val="0"/>
                <w:kern w:val="0"/>
                <w:sz w:val="18"/>
                <w:szCs w:val="18"/>
                <w:u w:val="single"/>
              </w:rPr>
              <w:t>-1</w:t>
            </w:r>
            <w:r>
              <w:rPr>
                <w:rFonts w:ascii="Arial Narrow" w:hAnsi="Arial Narrow" w:cs="Arial"/>
                <w:b/>
                <w:bCs/>
                <w:snapToGrid w:val="0"/>
                <w:kern w:val="0"/>
                <w:sz w:val="18"/>
                <w:szCs w:val="18"/>
                <w:u w:val="single"/>
              </w:rPr>
              <w:t>5</w:t>
            </w:r>
          </w:p>
        </w:tc>
        <w:tc>
          <w:tcPr>
            <w:tcW w:w="1068" w:type="dxa"/>
            <w:tcBorders>
              <w:bottom w:val="nil"/>
            </w:tcBorders>
            <w:shd w:val="clear" w:color="auto" w:fill="E6E6E6"/>
            <w:vAlign w:val="center"/>
          </w:tcPr>
          <w:p w:rsidR="004C2506" w:rsidRPr="00E224EF" w:rsidRDefault="004C2506" w:rsidP="00E224EF">
            <w:pPr>
              <w:widowControl/>
              <w:overflowPunct/>
              <w:autoSpaceDE/>
              <w:autoSpaceDN/>
              <w:adjustRightInd/>
              <w:spacing w:before="40" w:after="0"/>
              <w:jc w:val="center"/>
              <w:rPr>
                <w:rFonts w:ascii="Arial Narrow" w:hAnsi="Arial Narrow" w:cs="Arial"/>
                <w:b/>
                <w:bCs/>
                <w:kern w:val="0"/>
                <w:sz w:val="18"/>
                <w:szCs w:val="18"/>
              </w:rPr>
            </w:pPr>
            <w:r w:rsidRPr="00E224EF">
              <w:rPr>
                <w:rFonts w:ascii="Arial Narrow" w:hAnsi="Arial Narrow" w:cs="Arial"/>
                <w:b/>
                <w:bCs/>
                <w:snapToGrid w:val="0"/>
                <w:kern w:val="0"/>
                <w:sz w:val="18"/>
                <w:szCs w:val="18"/>
              </w:rPr>
              <w:t>Inflazione</w:t>
            </w:r>
          </w:p>
        </w:tc>
      </w:tr>
      <w:tr w:rsidR="004C2506" w:rsidRPr="00E224EF" w:rsidTr="00E224EF">
        <w:trPr>
          <w:trHeight w:val="138"/>
        </w:trPr>
        <w:tc>
          <w:tcPr>
            <w:tcW w:w="2736" w:type="dxa"/>
            <w:vMerge/>
            <w:vAlign w:val="center"/>
          </w:tcPr>
          <w:p w:rsidR="004C2506" w:rsidRPr="00E224EF" w:rsidRDefault="004C2506" w:rsidP="00E224EF">
            <w:pPr>
              <w:widowControl/>
              <w:overflowPunct/>
              <w:autoSpaceDE/>
              <w:autoSpaceDN/>
              <w:adjustRightInd/>
              <w:spacing w:before="40" w:after="20"/>
              <w:ind w:left="-57"/>
              <w:rPr>
                <w:rFonts w:ascii="Arial Narrow" w:hAnsi="Arial Narrow" w:cs="Arial"/>
                <w:b/>
                <w:bCs/>
                <w:kern w:val="0"/>
                <w:sz w:val="18"/>
                <w:szCs w:val="18"/>
              </w:rPr>
            </w:pPr>
          </w:p>
        </w:tc>
        <w:tc>
          <w:tcPr>
            <w:tcW w:w="1129" w:type="dxa"/>
            <w:vMerge/>
            <w:shd w:val="clear" w:color="auto" w:fill="E6E6E6"/>
            <w:vAlign w:val="center"/>
          </w:tcPr>
          <w:p w:rsidR="004C2506" w:rsidRPr="00E224EF" w:rsidRDefault="004C2506" w:rsidP="00E224EF">
            <w:pPr>
              <w:widowControl/>
              <w:overflowPunct/>
              <w:autoSpaceDE/>
              <w:autoSpaceDN/>
              <w:adjustRightInd/>
              <w:spacing w:before="40" w:after="20"/>
              <w:jc w:val="center"/>
              <w:rPr>
                <w:rFonts w:ascii="Arial Narrow" w:hAnsi="Arial Narrow" w:cs="Arial"/>
                <w:b/>
                <w:bCs/>
                <w:kern w:val="0"/>
                <w:sz w:val="18"/>
                <w:szCs w:val="18"/>
                <w:highlight w:val="yellow"/>
              </w:rPr>
            </w:pPr>
          </w:p>
        </w:tc>
        <w:tc>
          <w:tcPr>
            <w:tcW w:w="930"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6</w:t>
            </w:r>
          </w:p>
        </w:tc>
        <w:tc>
          <w:tcPr>
            <w:tcW w:w="928"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giu-15</w:t>
            </w:r>
          </w:p>
        </w:tc>
        <w:tc>
          <w:tcPr>
            <w:tcW w:w="929"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mag-15</w:t>
            </w:r>
          </w:p>
        </w:tc>
        <w:tc>
          <w:tcPr>
            <w:tcW w:w="929"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5</w:t>
            </w:r>
          </w:p>
        </w:tc>
        <w:tc>
          <w:tcPr>
            <w:tcW w:w="1068" w:type="dxa"/>
            <w:tcBorders>
              <w:top w:val="nil"/>
            </w:tcBorders>
            <w:shd w:val="clear" w:color="auto" w:fill="E6E6E6"/>
            <w:vAlign w:val="center"/>
          </w:tcPr>
          <w:p w:rsidR="004C2506" w:rsidRPr="00E224EF" w:rsidRDefault="004C2506" w:rsidP="00E224EF">
            <w:pPr>
              <w:widowControl/>
              <w:overflowPunct/>
              <w:autoSpaceDE/>
              <w:autoSpaceDN/>
              <w:adjustRightInd/>
              <w:spacing w:before="0" w:after="20"/>
              <w:jc w:val="center"/>
              <w:rPr>
                <w:rFonts w:ascii="Arial Narrow" w:hAnsi="Arial Narrow" w:cs="Arial"/>
                <w:b/>
                <w:bCs/>
                <w:kern w:val="0"/>
                <w:sz w:val="18"/>
                <w:szCs w:val="18"/>
              </w:rPr>
            </w:pPr>
            <w:r w:rsidRPr="00E224EF">
              <w:rPr>
                <w:rFonts w:ascii="Arial Narrow" w:hAnsi="Arial Narrow" w:cs="Arial"/>
                <w:b/>
                <w:bCs/>
                <w:snapToGrid w:val="0"/>
                <w:kern w:val="0"/>
                <w:sz w:val="18"/>
                <w:szCs w:val="18"/>
              </w:rPr>
              <w:t>acquisita</w:t>
            </w:r>
          </w:p>
        </w:tc>
      </w:tr>
      <w:tr w:rsidR="00E7211B" w:rsidRPr="00E224EF" w:rsidTr="00352912">
        <w:trPr>
          <w:trHeight w:val="255"/>
        </w:trPr>
        <w:tc>
          <w:tcPr>
            <w:tcW w:w="2736" w:type="dxa"/>
            <w:vAlign w:val="center"/>
          </w:tcPr>
          <w:p w:rsidR="00E7211B" w:rsidRPr="00E224EF" w:rsidRDefault="00E7211B" w:rsidP="00E224EF">
            <w:pPr>
              <w:widowControl/>
              <w:overflowPunct/>
              <w:autoSpaceDE/>
              <w:autoSpaceDN/>
              <w:adjustRightInd/>
              <w:spacing w:before="40" w:after="20"/>
              <w:ind w:left="-57"/>
              <w:rPr>
                <w:rFonts w:ascii="Arial Narrow" w:hAnsi="Arial Narrow" w:cs="Arial"/>
                <w:kern w:val="0"/>
                <w:sz w:val="18"/>
                <w:szCs w:val="18"/>
              </w:rPr>
            </w:pPr>
            <w:r w:rsidRPr="00E224EF">
              <w:rPr>
                <w:rFonts w:ascii="Arial Narrow" w:hAnsi="Arial Narrow" w:cs="Arial"/>
                <w:kern w:val="0"/>
                <w:sz w:val="18"/>
                <w:szCs w:val="18"/>
              </w:rPr>
              <w:t>Alta frequenza</w:t>
            </w:r>
          </w:p>
        </w:tc>
        <w:tc>
          <w:tcPr>
            <w:tcW w:w="1129" w:type="dxa"/>
            <w:shd w:val="clear" w:color="auto" w:fill="E6E6E6"/>
            <w:vAlign w:val="center"/>
          </w:tcPr>
          <w:p w:rsidR="00E7211B" w:rsidRPr="00E224EF" w:rsidRDefault="00E7211B" w:rsidP="00E224EF">
            <w:pPr>
              <w:widowControl/>
              <w:overflowPunct/>
              <w:autoSpaceDE/>
              <w:autoSpaceDN/>
              <w:adjustRightInd/>
              <w:spacing w:before="40" w:after="20"/>
              <w:ind w:right="113"/>
              <w:jc w:val="right"/>
              <w:rPr>
                <w:rFonts w:ascii="Arial Narrow" w:hAnsi="Arial Narrow" w:cs="Arial"/>
                <w:kern w:val="0"/>
                <w:sz w:val="18"/>
                <w:szCs w:val="18"/>
              </w:rPr>
            </w:pPr>
            <w:r w:rsidRPr="00D92BB8">
              <w:rPr>
                <w:rFonts w:ascii="Arial Narrow" w:hAnsi="Arial Narrow" w:cs="Arial"/>
                <w:kern w:val="0"/>
                <w:sz w:val="18"/>
                <w:szCs w:val="18"/>
              </w:rPr>
              <w:t>401</w:t>
            </w:r>
            <w:r>
              <w:rPr>
                <w:rFonts w:ascii="Arial Narrow" w:hAnsi="Arial Narrow" w:cs="Arial"/>
                <w:kern w:val="0"/>
                <w:sz w:val="18"/>
                <w:szCs w:val="18"/>
              </w:rPr>
              <w:t>.</w:t>
            </w:r>
            <w:r w:rsidRPr="00D92BB8">
              <w:rPr>
                <w:rFonts w:ascii="Arial Narrow" w:hAnsi="Arial Narrow" w:cs="Arial"/>
                <w:kern w:val="0"/>
                <w:sz w:val="18"/>
                <w:szCs w:val="18"/>
              </w:rPr>
              <w:t>652</w:t>
            </w:r>
          </w:p>
        </w:tc>
        <w:tc>
          <w:tcPr>
            <w:tcW w:w="930"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28"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-0,6</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1068" w:type="dxa"/>
            <w:shd w:val="clear" w:color="auto" w:fill="E6E6E6"/>
            <w:tcMar>
              <w:left w:w="284" w:type="dxa"/>
            </w:tcMar>
            <w:vAlign w:val="bottom"/>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r>
      <w:tr w:rsidR="00E7211B" w:rsidRPr="00E224EF" w:rsidTr="00352912">
        <w:trPr>
          <w:trHeight w:val="255"/>
        </w:trPr>
        <w:tc>
          <w:tcPr>
            <w:tcW w:w="2736" w:type="dxa"/>
            <w:vAlign w:val="center"/>
          </w:tcPr>
          <w:p w:rsidR="00E7211B" w:rsidRPr="00E224EF" w:rsidRDefault="00E7211B" w:rsidP="00E224EF">
            <w:pPr>
              <w:widowControl/>
              <w:overflowPunct/>
              <w:autoSpaceDE/>
              <w:autoSpaceDN/>
              <w:adjustRightInd/>
              <w:spacing w:before="40" w:after="20"/>
              <w:ind w:left="-57"/>
              <w:rPr>
                <w:rFonts w:ascii="Arial Narrow" w:hAnsi="Arial Narrow" w:cs="Arial"/>
                <w:kern w:val="0"/>
                <w:sz w:val="18"/>
                <w:szCs w:val="18"/>
              </w:rPr>
            </w:pPr>
            <w:r w:rsidRPr="00E224EF">
              <w:rPr>
                <w:rFonts w:ascii="Arial Narrow" w:hAnsi="Arial Narrow" w:cs="Arial"/>
                <w:kern w:val="0"/>
                <w:sz w:val="18"/>
                <w:szCs w:val="18"/>
              </w:rPr>
              <w:t>Media frequenza</w:t>
            </w:r>
            <w:r>
              <w:rPr>
                <w:rFonts w:ascii="Arial Narrow" w:hAnsi="Arial Narrow" w:cs="Arial"/>
                <w:kern w:val="0"/>
                <w:sz w:val="18"/>
                <w:szCs w:val="18"/>
              </w:rPr>
              <w:t xml:space="preserve"> (b)</w:t>
            </w:r>
          </w:p>
        </w:tc>
        <w:tc>
          <w:tcPr>
            <w:tcW w:w="1129" w:type="dxa"/>
            <w:shd w:val="clear" w:color="auto" w:fill="E6E6E6"/>
            <w:vAlign w:val="center"/>
          </w:tcPr>
          <w:p w:rsidR="00E7211B" w:rsidRPr="0054530F" w:rsidRDefault="00E7211B" w:rsidP="00567FA5">
            <w:pPr>
              <w:widowControl/>
              <w:overflowPunct/>
              <w:autoSpaceDE/>
              <w:autoSpaceDN/>
              <w:adjustRightInd/>
              <w:spacing w:before="40" w:after="20"/>
              <w:ind w:right="113"/>
              <w:jc w:val="right"/>
              <w:rPr>
                <w:rFonts w:ascii="Arial Narrow" w:hAnsi="Arial Narrow" w:cs="Arial"/>
                <w:kern w:val="0"/>
                <w:sz w:val="18"/>
                <w:szCs w:val="18"/>
                <w:highlight w:val="red"/>
              </w:rPr>
            </w:pPr>
            <w:r w:rsidRPr="00567FA5">
              <w:rPr>
                <w:rFonts w:ascii="Arial Narrow" w:hAnsi="Arial Narrow" w:cs="Arial"/>
                <w:kern w:val="0"/>
                <w:sz w:val="18"/>
                <w:szCs w:val="18"/>
              </w:rPr>
              <w:t>4</w:t>
            </w:r>
            <w:r>
              <w:rPr>
                <w:rFonts w:ascii="Arial Narrow" w:hAnsi="Arial Narrow" w:cs="Arial"/>
                <w:kern w:val="0"/>
                <w:sz w:val="18"/>
                <w:szCs w:val="18"/>
              </w:rPr>
              <w:t>28</w:t>
            </w:r>
            <w:r w:rsidRPr="00567FA5">
              <w:rPr>
                <w:rFonts w:ascii="Arial Narrow" w:hAnsi="Arial Narrow" w:cs="Arial"/>
                <w:kern w:val="0"/>
                <w:sz w:val="18"/>
                <w:szCs w:val="18"/>
              </w:rPr>
              <w:t>.</w:t>
            </w:r>
            <w:r>
              <w:rPr>
                <w:rFonts w:ascii="Arial Narrow" w:hAnsi="Arial Narrow" w:cs="Arial"/>
                <w:kern w:val="0"/>
                <w:sz w:val="18"/>
                <w:szCs w:val="18"/>
              </w:rPr>
              <w:t>972</w:t>
            </w:r>
          </w:p>
        </w:tc>
        <w:tc>
          <w:tcPr>
            <w:tcW w:w="930"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928"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-0,7</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-0,6</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1068" w:type="dxa"/>
            <w:shd w:val="clear" w:color="auto" w:fill="E6E6E6"/>
            <w:tcMar>
              <w:left w:w="284" w:type="dxa"/>
            </w:tcMar>
            <w:vAlign w:val="bottom"/>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-0,6</w:t>
            </w:r>
          </w:p>
        </w:tc>
      </w:tr>
      <w:tr w:rsidR="00E7211B" w:rsidRPr="00E224EF" w:rsidTr="00352912">
        <w:trPr>
          <w:trHeight w:val="255"/>
        </w:trPr>
        <w:tc>
          <w:tcPr>
            <w:tcW w:w="2736" w:type="dxa"/>
            <w:vAlign w:val="center"/>
          </w:tcPr>
          <w:p w:rsidR="00E7211B" w:rsidRPr="00E224EF" w:rsidRDefault="00E7211B" w:rsidP="00E224EF">
            <w:pPr>
              <w:widowControl/>
              <w:overflowPunct/>
              <w:autoSpaceDE/>
              <w:autoSpaceDN/>
              <w:adjustRightInd/>
              <w:spacing w:before="40" w:after="20"/>
              <w:ind w:left="-57"/>
              <w:rPr>
                <w:rFonts w:ascii="Arial Narrow" w:hAnsi="Arial Narrow" w:cs="Arial"/>
                <w:kern w:val="0"/>
                <w:sz w:val="18"/>
                <w:szCs w:val="18"/>
              </w:rPr>
            </w:pPr>
            <w:r w:rsidRPr="00E224EF">
              <w:rPr>
                <w:rFonts w:ascii="Arial Narrow" w:hAnsi="Arial Narrow" w:cs="Arial"/>
                <w:kern w:val="0"/>
                <w:sz w:val="18"/>
                <w:szCs w:val="18"/>
              </w:rPr>
              <w:t>Bassa frequenza</w:t>
            </w:r>
            <w:r>
              <w:rPr>
                <w:rFonts w:ascii="Arial Narrow" w:hAnsi="Arial Narrow" w:cs="Arial"/>
                <w:kern w:val="0"/>
                <w:sz w:val="18"/>
                <w:szCs w:val="18"/>
              </w:rPr>
              <w:t xml:space="preserve"> (b)</w:t>
            </w:r>
          </w:p>
        </w:tc>
        <w:tc>
          <w:tcPr>
            <w:tcW w:w="1129" w:type="dxa"/>
            <w:shd w:val="clear" w:color="auto" w:fill="E6E6E6"/>
            <w:vAlign w:val="center"/>
          </w:tcPr>
          <w:p w:rsidR="00E7211B" w:rsidRPr="0054530F" w:rsidRDefault="00E7211B" w:rsidP="00567FA5">
            <w:pPr>
              <w:widowControl/>
              <w:overflowPunct/>
              <w:autoSpaceDE/>
              <w:autoSpaceDN/>
              <w:adjustRightInd/>
              <w:spacing w:before="40" w:after="20"/>
              <w:ind w:right="113"/>
              <w:jc w:val="right"/>
              <w:rPr>
                <w:rFonts w:ascii="Arial Narrow" w:hAnsi="Arial Narrow" w:cs="Arial"/>
                <w:kern w:val="0"/>
                <w:sz w:val="18"/>
                <w:szCs w:val="18"/>
                <w:highlight w:val="red"/>
              </w:rPr>
            </w:pPr>
            <w:r>
              <w:rPr>
                <w:rFonts w:ascii="Arial Narrow" w:hAnsi="Arial Narrow" w:cs="Arial"/>
                <w:kern w:val="0"/>
                <w:sz w:val="18"/>
                <w:szCs w:val="18"/>
              </w:rPr>
              <w:t>169</w:t>
            </w:r>
            <w:r w:rsidRPr="00567FA5">
              <w:rPr>
                <w:rFonts w:ascii="Arial Narrow" w:hAnsi="Arial Narrow" w:cs="Arial"/>
                <w:kern w:val="0"/>
                <w:sz w:val="18"/>
                <w:szCs w:val="18"/>
              </w:rPr>
              <w:t>.</w:t>
            </w:r>
            <w:r>
              <w:rPr>
                <w:rFonts w:ascii="Arial Narrow" w:hAnsi="Arial Narrow" w:cs="Arial"/>
                <w:kern w:val="0"/>
                <w:sz w:val="18"/>
                <w:szCs w:val="18"/>
              </w:rPr>
              <w:t>376</w:t>
            </w:r>
          </w:p>
        </w:tc>
        <w:tc>
          <w:tcPr>
            <w:tcW w:w="930"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928" w:type="dxa"/>
            <w:vAlign w:val="center"/>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1,1</w:t>
            </w:r>
          </w:p>
        </w:tc>
        <w:tc>
          <w:tcPr>
            <w:tcW w:w="929" w:type="dxa"/>
            <w:vAlign w:val="center"/>
          </w:tcPr>
          <w:p w:rsidR="00E7211B" w:rsidRPr="00875F2D" w:rsidRDefault="00E7211B"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1068" w:type="dxa"/>
            <w:shd w:val="clear" w:color="auto" w:fill="E6E6E6"/>
            <w:tcMar>
              <w:left w:w="284" w:type="dxa"/>
            </w:tcMar>
            <w:vAlign w:val="bottom"/>
          </w:tcPr>
          <w:p w:rsidR="00E7211B" w:rsidRPr="00875F2D" w:rsidRDefault="00E7211B" w:rsidP="00E7211B">
            <w:pPr>
              <w:spacing w:before="40" w:after="20"/>
              <w:ind w:right="284"/>
              <w:jc w:val="right"/>
              <w:rPr>
                <w:rFonts w:ascii="Arial Narrow" w:hAnsi="Arial Narrow" w:cs="Arial"/>
                <w:sz w:val="18"/>
                <w:szCs w:val="18"/>
              </w:rPr>
            </w:pPr>
            <w:r w:rsidRPr="00875F2D">
              <w:rPr>
                <w:rFonts w:ascii="Arial Narrow" w:hAnsi="Arial Narrow" w:cs="Arial"/>
                <w:sz w:val="18"/>
                <w:szCs w:val="18"/>
              </w:rPr>
              <w:t>0,7</w:t>
            </w:r>
          </w:p>
        </w:tc>
      </w:tr>
      <w:tr w:rsidR="00F907C8" w:rsidRPr="00E224EF" w:rsidTr="00A23D4D">
        <w:trPr>
          <w:trHeight w:val="284"/>
        </w:trPr>
        <w:tc>
          <w:tcPr>
            <w:tcW w:w="2736" w:type="dxa"/>
            <w:shd w:val="clear" w:color="auto" w:fill="FF0000"/>
            <w:vAlign w:val="center"/>
          </w:tcPr>
          <w:p w:rsidR="00F907C8" w:rsidRPr="00E224EF" w:rsidRDefault="00F907C8" w:rsidP="00E224EF">
            <w:pPr>
              <w:widowControl/>
              <w:overflowPunct/>
              <w:autoSpaceDE/>
              <w:autoSpaceDN/>
              <w:adjustRightInd/>
              <w:spacing w:before="40" w:after="20"/>
              <w:rPr>
                <w:rFonts w:ascii="Arial Narrow" w:hAnsi="Arial Narrow" w:cs="Arial"/>
                <w:b/>
                <w:bCs/>
                <w:color w:val="FFFFFF"/>
                <w:kern w:val="0"/>
                <w:sz w:val="18"/>
                <w:szCs w:val="18"/>
              </w:rPr>
            </w:pPr>
            <w:r w:rsidRPr="00E224EF">
              <w:rPr>
                <w:rFonts w:ascii="Arial Narrow" w:hAnsi="Arial Narrow" w:cs="Arial"/>
                <w:b/>
                <w:bCs/>
                <w:color w:val="FFFFFF"/>
                <w:kern w:val="0"/>
                <w:sz w:val="18"/>
                <w:szCs w:val="18"/>
              </w:rPr>
              <w:t>Indice generale</w:t>
            </w:r>
          </w:p>
        </w:tc>
        <w:tc>
          <w:tcPr>
            <w:tcW w:w="1129" w:type="dxa"/>
            <w:shd w:val="clear" w:color="auto" w:fill="FF0000"/>
            <w:vAlign w:val="center"/>
          </w:tcPr>
          <w:p w:rsidR="00F907C8" w:rsidRPr="00E224EF" w:rsidRDefault="00F907C8" w:rsidP="00E224EF">
            <w:pPr>
              <w:widowControl/>
              <w:overflowPunct/>
              <w:autoSpaceDE/>
              <w:autoSpaceDN/>
              <w:adjustRightInd/>
              <w:spacing w:before="0" w:after="0"/>
              <w:jc w:val="center"/>
              <w:rPr>
                <w:rFonts w:ascii="Arial Narrow" w:hAnsi="Arial Narrow"/>
                <w:b/>
                <w:color w:val="FFFFFF" w:themeColor="background1"/>
                <w:kern w:val="0"/>
                <w:sz w:val="18"/>
                <w:szCs w:val="18"/>
                <w:highlight w:val="lightGray"/>
              </w:rPr>
            </w:pPr>
            <w:r w:rsidRPr="00E224EF">
              <w:rPr>
                <w:rFonts w:ascii="Arial Narrow" w:hAnsi="Arial Narrow"/>
                <w:b/>
                <w:color w:val="FFFFFF" w:themeColor="background1"/>
                <w:kern w:val="0"/>
                <w:sz w:val="18"/>
                <w:szCs w:val="18"/>
              </w:rPr>
              <w:t xml:space="preserve">1.000.000 </w:t>
            </w:r>
          </w:p>
        </w:tc>
        <w:tc>
          <w:tcPr>
            <w:tcW w:w="930" w:type="dxa"/>
            <w:shd w:val="clear" w:color="auto" w:fill="FF0000"/>
            <w:vAlign w:val="center"/>
          </w:tcPr>
          <w:p w:rsidR="00F907C8" w:rsidRPr="00875F2D" w:rsidRDefault="00E7211B" w:rsidP="00B2247E">
            <w:pPr>
              <w:spacing w:before="40" w:after="20"/>
              <w:ind w:right="283"/>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928" w:type="dxa"/>
            <w:shd w:val="clear" w:color="auto" w:fill="FF0000"/>
            <w:vAlign w:val="center"/>
          </w:tcPr>
          <w:p w:rsidR="00F907C8" w:rsidRPr="00875F2D" w:rsidRDefault="00E7211B" w:rsidP="009E6185">
            <w:pPr>
              <w:spacing w:before="40" w:after="20"/>
              <w:ind w:right="283"/>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-0,4</w:t>
            </w:r>
          </w:p>
        </w:tc>
        <w:tc>
          <w:tcPr>
            <w:tcW w:w="929" w:type="dxa"/>
            <w:shd w:val="clear" w:color="auto" w:fill="FF0000"/>
            <w:vAlign w:val="center"/>
          </w:tcPr>
          <w:p w:rsidR="00F907C8" w:rsidRPr="00875F2D" w:rsidRDefault="00F907C8" w:rsidP="000E79A9">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929" w:type="dxa"/>
            <w:shd w:val="clear" w:color="auto" w:fill="FF0000"/>
            <w:vAlign w:val="center"/>
          </w:tcPr>
          <w:p w:rsidR="00F907C8" w:rsidRPr="00875F2D" w:rsidRDefault="00F907C8" w:rsidP="000E79A9">
            <w:pPr>
              <w:spacing w:before="40" w:after="20"/>
              <w:ind w:right="283"/>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1068" w:type="dxa"/>
            <w:shd w:val="clear" w:color="auto" w:fill="FF0000"/>
            <w:tcMar>
              <w:left w:w="284" w:type="dxa"/>
            </w:tcMar>
            <w:vAlign w:val="center"/>
          </w:tcPr>
          <w:p w:rsidR="00F907C8" w:rsidRPr="00875F2D" w:rsidRDefault="00F907C8" w:rsidP="00E7211B">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w:t>
            </w:r>
            <w:r w:rsidR="00E7211B" w:rsidRPr="00875F2D">
              <w:rPr>
                <w:rFonts w:ascii="Arial Narrow" w:hAnsi="Arial Narrow" w:cs="Arial"/>
                <w:b/>
                <w:color w:val="FFFFFF" w:themeColor="background1"/>
                <w:sz w:val="18"/>
                <w:szCs w:val="18"/>
              </w:rPr>
              <w:t>2</w:t>
            </w:r>
          </w:p>
        </w:tc>
      </w:tr>
    </w:tbl>
    <w:p w:rsidR="002A6DAE" w:rsidRPr="00567FA5" w:rsidRDefault="002A6DAE" w:rsidP="00507AB2">
      <w:pPr>
        <w:pStyle w:val="Corpotesto"/>
        <w:numPr>
          <w:ilvl w:val="0"/>
          <w:numId w:val="49"/>
        </w:numPr>
        <w:tabs>
          <w:tab w:val="left" w:pos="2127"/>
        </w:tabs>
        <w:spacing w:before="80" w:line="240" w:lineRule="auto"/>
        <w:ind w:left="1814" w:firstLine="0"/>
        <w:jc w:val="both"/>
        <w:rPr>
          <w:rFonts w:ascii="Arial Narrow" w:hAnsi="Arial Narrow" w:cs="Arial"/>
          <w:sz w:val="15"/>
          <w:szCs w:val="15"/>
        </w:rPr>
      </w:pPr>
      <w:r w:rsidRPr="00567FA5">
        <w:rPr>
          <w:rFonts w:ascii="Arial Narrow" w:hAnsi="Arial Narrow" w:cs="Arial"/>
          <w:sz w:val="15"/>
          <w:szCs w:val="15"/>
        </w:rPr>
        <w:t>le variazioni tendenziali e l’inflazione acquisita, con l’aggiornamento della base di riferimento degli indici NIC all’anno 2015 (base precedente 2010=100), sono calcolate utilizzando i coefficienti di raccordo. Si veda la Nota metodologica alla fine del comunicato.</w:t>
      </w:r>
    </w:p>
    <w:p w:rsidR="00567FA5" w:rsidRPr="005C1FB8" w:rsidRDefault="00567FA5" w:rsidP="00507AB2">
      <w:pPr>
        <w:pStyle w:val="Corpotesto"/>
        <w:numPr>
          <w:ilvl w:val="0"/>
          <w:numId w:val="49"/>
        </w:numPr>
        <w:tabs>
          <w:tab w:val="left" w:pos="2127"/>
        </w:tabs>
        <w:spacing w:line="240" w:lineRule="auto"/>
        <w:ind w:left="1814" w:firstLine="0"/>
        <w:jc w:val="both"/>
        <w:rPr>
          <w:rFonts w:ascii="Arial Narrow" w:hAnsi="Arial Narrow" w:cs="Arial"/>
          <w:sz w:val="15"/>
          <w:szCs w:val="15"/>
        </w:rPr>
      </w:pPr>
      <w:r w:rsidRPr="005C1FB8">
        <w:rPr>
          <w:rFonts w:ascii="Arial Narrow" w:hAnsi="Arial Narrow" w:cs="Arial"/>
          <w:sz w:val="15"/>
          <w:szCs w:val="15"/>
        </w:rPr>
        <w:t>I valori dei pesi</w:t>
      </w:r>
      <w:r>
        <w:rPr>
          <w:rFonts w:ascii="Arial Narrow" w:hAnsi="Arial Narrow" w:cs="Arial"/>
          <w:sz w:val="15"/>
          <w:szCs w:val="15"/>
        </w:rPr>
        <w:t xml:space="preserve"> dei prodotti</w:t>
      </w:r>
      <w:r w:rsidRPr="005C1FB8">
        <w:rPr>
          <w:rFonts w:ascii="Arial Narrow" w:hAnsi="Arial Narrow" w:cs="Arial"/>
          <w:sz w:val="15"/>
          <w:szCs w:val="15"/>
        </w:rPr>
        <w:t xml:space="preserve"> a media e bassa frequenza d’acquisto riportati nei comunicati stampa di gennaio (provvisorio e definitivo) 2016 e febbraio provvisorio 2016</w:t>
      </w:r>
      <w:r>
        <w:rPr>
          <w:rFonts w:ascii="Arial Narrow" w:hAnsi="Arial Narrow" w:cs="Arial"/>
          <w:sz w:val="15"/>
          <w:szCs w:val="15"/>
        </w:rPr>
        <w:t xml:space="preserve"> a causa di un refuso</w:t>
      </w:r>
      <w:r w:rsidRPr="005C1FB8">
        <w:rPr>
          <w:rFonts w:ascii="Arial Narrow" w:hAnsi="Arial Narrow" w:cs="Arial"/>
          <w:sz w:val="15"/>
          <w:szCs w:val="15"/>
        </w:rPr>
        <w:t xml:space="preserve"> si discostano </w:t>
      </w:r>
      <w:r>
        <w:rPr>
          <w:rFonts w:ascii="Arial Narrow" w:hAnsi="Arial Narrow" w:cs="Arial"/>
          <w:sz w:val="15"/>
          <w:szCs w:val="15"/>
        </w:rPr>
        <w:t>di poco da quelli corretti e qui pubblicati</w:t>
      </w:r>
      <w:r w:rsidRPr="005C1FB8">
        <w:rPr>
          <w:rFonts w:ascii="Arial Narrow" w:hAnsi="Arial Narrow" w:cs="Arial"/>
          <w:sz w:val="15"/>
          <w:szCs w:val="15"/>
        </w:rPr>
        <w:t>.</w:t>
      </w:r>
    </w:p>
    <w:p w:rsidR="00567FA5" w:rsidRPr="00567FA5" w:rsidRDefault="00567FA5" w:rsidP="00567FA5">
      <w:pPr>
        <w:pStyle w:val="Paragrafoelenco"/>
        <w:spacing w:before="80" w:after="0"/>
        <w:ind w:left="2174"/>
        <w:jc w:val="both"/>
        <w:rPr>
          <w:rFonts w:ascii="Arial Narrow" w:hAnsi="Arial Narrow" w:cs="Arial"/>
          <w:sz w:val="15"/>
          <w:szCs w:val="15"/>
        </w:rPr>
      </w:pPr>
    </w:p>
    <w:p w:rsidR="00394E10" w:rsidRDefault="00394E10" w:rsidP="00E90E6B">
      <w:pPr>
        <w:tabs>
          <w:tab w:val="left" w:pos="1843"/>
        </w:tabs>
        <w:spacing w:before="280" w:after="60"/>
        <w:ind w:left="1843"/>
        <w:rPr>
          <w:rFonts w:ascii="Arial Narrow" w:hAnsi="Arial Narrow" w:cs="Arial"/>
          <w:b/>
          <w:color w:val="5F5F5F"/>
        </w:rPr>
      </w:pPr>
    </w:p>
    <w:p w:rsidR="00394E10" w:rsidRDefault="00394E10">
      <w:pPr>
        <w:widowControl/>
        <w:overflowPunct/>
        <w:autoSpaceDE/>
        <w:autoSpaceDN/>
        <w:adjustRightInd/>
        <w:spacing w:before="0" w:after="0"/>
        <w:rPr>
          <w:rFonts w:ascii="Arial Narrow" w:hAnsi="Arial Narrow" w:cs="Arial"/>
          <w:b/>
          <w:color w:val="5F5F5F"/>
        </w:rPr>
      </w:pPr>
      <w:r>
        <w:rPr>
          <w:rFonts w:ascii="Arial Narrow" w:hAnsi="Arial Narrow" w:cs="Arial"/>
          <w:b/>
          <w:color w:val="5F5F5F"/>
        </w:rPr>
        <w:br w:type="page"/>
      </w:r>
    </w:p>
    <w:p w:rsidR="00EB1C99" w:rsidRDefault="000F4D00" w:rsidP="00E90E6B">
      <w:pPr>
        <w:tabs>
          <w:tab w:val="left" w:pos="1843"/>
        </w:tabs>
        <w:spacing w:before="280" w:after="60"/>
        <w:ind w:left="1843"/>
        <w:rPr>
          <w:color w:val="333333"/>
          <w:sz w:val="22"/>
          <w:szCs w:val="22"/>
        </w:rPr>
      </w:pPr>
      <w:r w:rsidRPr="002A3DE5">
        <w:rPr>
          <w:rFonts w:ascii="Arial Narrow" w:hAnsi="Arial Narrow" w:cs="Arial"/>
          <w:b/>
          <w:color w:val="5F5F5F"/>
        </w:rPr>
        <w:lastRenderedPageBreak/>
        <w:t xml:space="preserve">FIGURA </w:t>
      </w:r>
      <w:r w:rsidR="00275BF2">
        <w:rPr>
          <w:rFonts w:ascii="Arial Narrow" w:hAnsi="Arial Narrow" w:cs="Arial"/>
          <w:b/>
          <w:color w:val="5F5F5F"/>
        </w:rPr>
        <w:t>2</w:t>
      </w:r>
      <w:r w:rsidRPr="002A3DE5">
        <w:rPr>
          <w:rFonts w:ascii="Arial Narrow" w:hAnsi="Arial Narrow" w:cs="Arial"/>
          <w:b/>
          <w:color w:val="5F5F5F"/>
        </w:rPr>
        <w:t>. INDICI DEI PREZZI AL CONSUMO NIC, PER PRODOTTI A DIVERSA FREQUENZA DI ACQUISTO</w:t>
      </w:r>
      <w:r w:rsidRPr="009D11E4">
        <w:rPr>
          <w:rFonts w:ascii="Arial Narrow" w:hAnsi="Arial Narrow"/>
          <w:color w:val="5F5F5F"/>
        </w:rPr>
        <w:br/>
      </w:r>
      <w:r w:rsidRPr="002A3DE5">
        <w:rPr>
          <w:rFonts w:ascii="Arial Narrow" w:hAnsi="Arial Narrow" w:cs="Arial"/>
          <w:sz w:val="19"/>
          <w:szCs w:val="19"/>
        </w:rPr>
        <w:t>Variazioni percentuali rispetto allo stesso mese dell’anno precedente</w:t>
      </w:r>
      <w:r w:rsidRPr="00EA0885">
        <w:rPr>
          <w:color w:val="333333"/>
          <w:sz w:val="22"/>
          <w:szCs w:val="22"/>
        </w:rPr>
        <w:t xml:space="preserve"> </w:t>
      </w:r>
    </w:p>
    <w:p w:rsidR="00713ABD" w:rsidRDefault="006E7FA7" w:rsidP="002D091B">
      <w:pPr>
        <w:tabs>
          <w:tab w:val="left" w:pos="1843"/>
        </w:tabs>
        <w:spacing w:before="0" w:after="60"/>
        <w:ind w:left="1843"/>
        <w:rPr>
          <w:rFonts w:ascii="Arial Narrow" w:hAnsi="Arial Narrow" w:cs="Arial"/>
          <w:b/>
          <w:noProof/>
          <w:color w:val="5F5F5F"/>
        </w:rPr>
      </w:pPr>
      <w:r>
        <w:rPr>
          <w:rFonts w:ascii="Arial Narrow" w:hAnsi="Arial Narrow" w:cs="Arial"/>
          <w:b/>
          <w:noProof/>
          <w:color w:val="5F5F5F"/>
        </w:rPr>
        <w:fldChar w:fldCharType="begin"/>
      </w:r>
      <w:r>
        <w:rPr>
          <w:rFonts w:ascii="Arial Narrow" w:hAnsi="Arial Narrow" w:cs="Arial"/>
          <w:b/>
          <w:noProof/>
          <w:color w:val="5F5F5F"/>
        </w:rPr>
        <w:instrText xml:space="preserve"> LINK Excel.Sheet.12 "\\\\nas-balbo\\TICINO55\\Consumo4\\Diffusione\\comunica\\anno 2016\\04Aprile\\provvisorio\\IPC_grafici_comunicato.xlsx!Figura_2(provv)-Figura_7(def)![IPC_grafici_comunicato.xlsx]Figura_2(provv)-Figura_7(def) Chart 1" "" \a \p </w:instrText>
      </w:r>
      <w:r>
        <w:rPr>
          <w:rFonts w:ascii="Arial Narrow" w:hAnsi="Arial Narrow" w:cs="Arial"/>
          <w:b/>
          <w:noProof/>
          <w:color w:val="5F5F5F"/>
        </w:rPr>
        <w:fldChar w:fldCharType="separate"/>
      </w:r>
      <w:r w:rsidR="005E1C51">
        <w:rPr>
          <w:rFonts w:ascii="Arial Narrow" w:hAnsi="Arial Narrow" w:cs="Arial"/>
          <w:b/>
          <w:noProof/>
          <w:color w:val="5F5F5F"/>
        </w:rPr>
        <w:object w:dxaOrig="11726" w:dyaOrig="5494">
          <v:shape id="_x0000_i1028" type="#_x0000_t75" style="width:439.5pt;height:206pt" o:bordertopcolor="this" o:borderbottomcolor="this">
            <v:imagedata r:id="rId56" o:title=""/>
            <w10:bordertop type="single" width="4"/>
            <w10:borderbottom type="single" width="4"/>
          </v:shape>
        </w:object>
      </w:r>
      <w:r>
        <w:rPr>
          <w:rFonts w:ascii="Arial Narrow" w:hAnsi="Arial Narrow" w:cs="Arial"/>
          <w:b/>
          <w:noProof/>
          <w:color w:val="5F5F5F"/>
        </w:rPr>
        <w:fldChar w:fldCharType="end"/>
      </w:r>
    </w:p>
    <w:p w:rsidR="000F4D00" w:rsidRDefault="000F4D00" w:rsidP="005E0E6C">
      <w:pPr>
        <w:tabs>
          <w:tab w:val="left" w:pos="1843"/>
        </w:tabs>
        <w:spacing w:before="0" w:after="0"/>
        <w:ind w:left="1843"/>
        <w:rPr>
          <w:rFonts w:ascii="Arial" w:hAnsi="Arial" w:cs="Arial"/>
          <w:b/>
          <w:sz w:val="22"/>
          <w:szCs w:val="22"/>
        </w:rPr>
      </w:pPr>
      <w:r w:rsidRPr="002A3DE5">
        <w:rPr>
          <w:rFonts w:ascii="Arial" w:hAnsi="Arial" w:cs="Arial"/>
          <w:b/>
          <w:sz w:val="22"/>
          <w:szCs w:val="22"/>
        </w:rPr>
        <w:t>Indice armonizzato dei prezzi al consumo</w:t>
      </w:r>
    </w:p>
    <w:p w:rsidR="005E0E6C" w:rsidRPr="005E0E6C" w:rsidRDefault="005E0E6C" w:rsidP="005E0E6C">
      <w:pPr>
        <w:tabs>
          <w:tab w:val="left" w:pos="1843"/>
        </w:tabs>
        <w:spacing w:before="0" w:after="60"/>
        <w:ind w:left="1843"/>
        <w:rPr>
          <w:rFonts w:ascii="Arial" w:hAnsi="Arial" w:cs="Arial"/>
          <w:b/>
          <w:sz w:val="14"/>
          <w:szCs w:val="14"/>
        </w:rPr>
      </w:pPr>
    </w:p>
    <w:p w:rsidR="00995D65" w:rsidRDefault="000F4D00" w:rsidP="00725109">
      <w:pPr>
        <w:widowControl/>
        <w:tabs>
          <w:tab w:val="left" w:pos="2041"/>
        </w:tabs>
        <w:overflowPunct/>
        <w:spacing w:before="0" w:after="120"/>
        <w:ind w:left="1797"/>
        <w:jc w:val="both"/>
        <w:rPr>
          <w:rFonts w:ascii="Arial" w:hAnsi="Arial" w:cs="Arial"/>
          <w:b/>
        </w:rPr>
      </w:pPr>
      <w:r w:rsidRPr="002A3DE5">
        <w:rPr>
          <w:rFonts w:ascii="Arial" w:hAnsi="Arial" w:cs="Arial"/>
          <w:b/>
        </w:rPr>
        <w:t>Le divisioni di spesa</w:t>
      </w:r>
    </w:p>
    <w:p w:rsidR="004E23DD" w:rsidRPr="00725109" w:rsidRDefault="004E23DD" w:rsidP="004E23DD">
      <w:pPr>
        <w:widowControl/>
        <w:overflowPunct/>
        <w:autoSpaceDE/>
        <w:autoSpaceDN/>
        <w:adjustRightInd/>
        <w:spacing w:before="0" w:after="120"/>
        <w:ind w:left="1814"/>
        <w:jc w:val="both"/>
        <w:rPr>
          <w:rFonts w:ascii="Arial" w:hAnsi="Arial" w:cs="Arial"/>
          <w:iCs/>
          <w:noProof/>
          <w:kern w:val="0"/>
        </w:rPr>
      </w:pPr>
      <w:r w:rsidRPr="00725109">
        <w:rPr>
          <w:rFonts w:ascii="Arial" w:hAnsi="Arial" w:cs="Arial"/>
          <w:kern w:val="0"/>
        </w:rPr>
        <w:t xml:space="preserve">A </w:t>
      </w:r>
      <w:r>
        <w:rPr>
          <w:rFonts w:ascii="Arial" w:hAnsi="Arial" w:cs="Arial"/>
          <w:kern w:val="0"/>
        </w:rPr>
        <w:t>giugno</w:t>
      </w:r>
      <w:r w:rsidRPr="00725109">
        <w:rPr>
          <w:rFonts w:ascii="Arial" w:hAnsi="Arial" w:cs="Arial"/>
          <w:kern w:val="0"/>
        </w:rPr>
        <w:t xml:space="preserve"> </w:t>
      </w:r>
      <w:r>
        <w:rPr>
          <w:rFonts w:ascii="Arial" w:hAnsi="Arial" w:cs="Arial"/>
          <w:kern w:val="0"/>
        </w:rPr>
        <w:t xml:space="preserve">i maggiori aumenti </w:t>
      </w:r>
      <w:r w:rsidRPr="00725109">
        <w:rPr>
          <w:rFonts w:ascii="Arial" w:hAnsi="Arial" w:cs="Arial"/>
          <w:kern w:val="0"/>
        </w:rPr>
        <w:t>congiuntural</w:t>
      </w:r>
      <w:r>
        <w:rPr>
          <w:rFonts w:ascii="Arial" w:hAnsi="Arial" w:cs="Arial"/>
          <w:kern w:val="0"/>
        </w:rPr>
        <w:t>i</w:t>
      </w:r>
      <w:r w:rsidRPr="00725109">
        <w:rPr>
          <w:rFonts w:ascii="Arial" w:hAnsi="Arial" w:cs="Arial"/>
          <w:kern w:val="0"/>
        </w:rPr>
        <w:t xml:space="preserve"> </w:t>
      </w:r>
      <w:r>
        <w:rPr>
          <w:rFonts w:ascii="Arial" w:hAnsi="Arial" w:cs="Arial"/>
          <w:kern w:val="0"/>
        </w:rPr>
        <w:t>interessano i</w:t>
      </w:r>
      <w:r w:rsidRPr="00725109">
        <w:rPr>
          <w:rFonts w:ascii="Arial" w:hAnsi="Arial" w:cs="Arial"/>
          <w:kern w:val="0"/>
        </w:rPr>
        <w:t xml:space="preserve"> prezzi </w:t>
      </w:r>
      <w:r>
        <w:rPr>
          <w:rFonts w:ascii="Arial" w:hAnsi="Arial" w:cs="Arial"/>
          <w:kern w:val="0"/>
        </w:rPr>
        <w:t xml:space="preserve">dei Trasporti (+0,8%) e delle Bevande alcoliche e tabacchi (+0,3%) </w:t>
      </w:r>
      <w:r w:rsidRPr="00725109">
        <w:rPr>
          <w:rFonts w:ascii="Arial" w:hAnsi="Arial" w:cs="Arial"/>
          <w:iCs/>
          <w:noProof/>
          <w:kern w:val="0"/>
        </w:rPr>
        <w:t>(Prospetto 4)</w:t>
      </w:r>
      <w:r w:rsidRPr="00725109">
        <w:rPr>
          <w:rFonts w:ascii="Arial" w:hAnsi="Arial" w:cs="Arial"/>
          <w:kern w:val="0"/>
        </w:rPr>
        <w:t xml:space="preserve">. Incrementi su base mensile più contenuti si rilevano per i prezzi </w:t>
      </w:r>
      <w:r>
        <w:rPr>
          <w:rFonts w:ascii="Arial" w:hAnsi="Arial" w:cs="Arial"/>
          <w:kern w:val="0"/>
        </w:rPr>
        <w:t xml:space="preserve">di </w:t>
      </w:r>
      <w:r w:rsidRPr="00725109">
        <w:rPr>
          <w:rFonts w:ascii="Arial" w:hAnsi="Arial" w:cs="Arial"/>
          <w:kern w:val="0"/>
        </w:rPr>
        <w:t xml:space="preserve">Ricreazione, spettacoli e cultura </w:t>
      </w:r>
      <w:r>
        <w:rPr>
          <w:rFonts w:ascii="Arial" w:hAnsi="Arial" w:cs="Arial"/>
          <w:kern w:val="0"/>
        </w:rPr>
        <w:t xml:space="preserve">e dei Servizi ricettivi e di ristorazione (+0,2% per entrambe le divisioni di spesa), dei </w:t>
      </w:r>
      <w:r w:rsidRPr="00725109">
        <w:rPr>
          <w:rFonts w:ascii="Arial" w:hAnsi="Arial" w:cs="Arial"/>
          <w:kern w:val="0"/>
        </w:rPr>
        <w:t>Prodotti alimentari e bevande analcoliche</w:t>
      </w:r>
      <w:r>
        <w:rPr>
          <w:rFonts w:ascii="Arial" w:hAnsi="Arial" w:cs="Arial"/>
          <w:kern w:val="0"/>
        </w:rPr>
        <w:t xml:space="preserve"> e dei Servizi sanitari e spese per la salute (+0,1% per entrambe).</w:t>
      </w:r>
      <w:r w:rsidRPr="00725109">
        <w:rPr>
          <w:rFonts w:ascii="Arial" w:hAnsi="Arial" w:cs="Arial"/>
          <w:kern w:val="0"/>
        </w:rPr>
        <w:t xml:space="preserve"> Dimin</w:t>
      </w:r>
      <w:r>
        <w:rPr>
          <w:rFonts w:ascii="Arial" w:hAnsi="Arial" w:cs="Arial"/>
          <w:kern w:val="0"/>
        </w:rPr>
        <w:t>u</w:t>
      </w:r>
      <w:r w:rsidRPr="00725109">
        <w:rPr>
          <w:rFonts w:ascii="Arial" w:hAnsi="Arial" w:cs="Arial"/>
          <w:kern w:val="0"/>
        </w:rPr>
        <w:t xml:space="preserve">zioni su base mensile si riscontrano per i prezzi </w:t>
      </w:r>
      <w:r>
        <w:rPr>
          <w:rFonts w:ascii="Arial" w:hAnsi="Arial" w:cs="Arial"/>
          <w:kern w:val="0"/>
        </w:rPr>
        <w:t xml:space="preserve">delle Comunicazioni (-1,0%) e </w:t>
      </w:r>
      <w:r w:rsidRPr="00725109">
        <w:rPr>
          <w:rFonts w:ascii="Arial" w:hAnsi="Arial" w:cs="Arial"/>
          <w:kern w:val="0"/>
        </w:rPr>
        <w:t>dell’Abbigliamento e calzature (</w:t>
      </w:r>
      <w:r>
        <w:rPr>
          <w:rFonts w:ascii="Arial" w:hAnsi="Arial" w:cs="Arial"/>
          <w:kern w:val="0"/>
        </w:rPr>
        <w:t>-0,3</w:t>
      </w:r>
      <w:r w:rsidRPr="00725109">
        <w:rPr>
          <w:rFonts w:ascii="Arial" w:hAnsi="Arial" w:cs="Arial"/>
          <w:kern w:val="0"/>
        </w:rPr>
        <w:t xml:space="preserve">%). </w:t>
      </w:r>
      <w:r w:rsidRPr="00725109">
        <w:rPr>
          <w:rFonts w:ascii="Arial" w:hAnsi="Arial" w:cs="Arial"/>
          <w:iCs/>
          <w:noProof/>
          <w:kern w:val="0"/>
        </w:rPr>
        <w:t xml:space="preserve">I prezzi </w:t>
      </w:r>
      <w:r>
        <w:rPr>
          <w:rFonts w:ascii="Arial" w:hAnsi="Arial" w:cs="Arial"/>
          <w:iCs/>
          <w:noProof/>
          <w:kern w:val="0"/>
        </w:rPr>
        <w:t xml:space="preserve">delle rimanenti divisioni di spesa </w:t>
      </w:r>
      <w:r w:rsidRPr="00725109">
        <w:rPr>
          <w:rFonts w:ascii="Arial" w:hAnsi="Arial" w:cs="Arial"/>
          <w:iCs/>
          <w:noProof/>
          <w:kern w:val="0"/>
        </w:rPr>
        <w:t>non variano in termini congiunturali.</w:t>
      </w:r>
      <w:r w:rsidRPr="00DE12EC">
        <w:rPr>
          <w:rFonts w:ascii="Arial" w:hAnsi="Arial" w:cs="Arial"/>
          <w:kern w:val="0"/>
        </w:rPr>
        <w:t xml:space="preserve"> </w:t>
      </w:r>
    </w:p>
    <w:p w:rsidR="00D66ED3" w:rsidRDefault="00D66ED3" w:rsidP="00D66ED3">
      <w:pPr>
        <w:widowControl/>
        <w:overflowPunct/>
        <w:autoSpaceDE/>
        <w:autoSpaceDN/>
        <w:adjustRightInd/>
        <w:spacing w:before="0" w:after="0" w:line="120" w:lineRule="auto"/>
        <w:ind w:left="1814"/>
        <w:jc w:val="both"/>
        <w:rPr>
          <w:rFonts w:ascii="Arial" w:hAnsi="Arial" w:cs="Arial"/>
          <w:iCs/>
          <w:noProof/>
          <w:kern w:val="0"/>
        </w:rPr>
      </w:pPr>
    </w:p>
    <w:p w:rsidR="00995D65" w:rsidRDefault="000F4D00" w:rsidP="00D66ED3">
      <w:pPr>
        <w:widowControl/>
        <w:overflowPunct/>
        <w:autoSpaceDE/>
        <w:autoSpaceDN/>
        <w:adjustRightInd/>
        <w:spacing w:before="0" w:after="0"/>
        <w:ind w:left="1814"/>
        <w:jc w:val="both"/>
        <w:rPr>
          <w:rFonts w:ascii="Arial Narrow" w:hAnsi="Arial Narrow" w:cs="Arial"/>
          <w:sz w:val="19"/>
          <w:szCs w:val="19"/>
        </w:rPr>
      </w:pPr>
      <w:r w:rsidRPr="00CD71B2">
        <w:rPr>
          <w:rFonts w:ascii="Arial Narrow" w:hAnsi="Arial Narrow" w:cs="Arial"/>
          <w:b/>
          <w:color w:val="5F5F5F"/>
        </w:rPr>
        <w:t xml:space="preserve">PROSPETTO </w:t>
      </w:r>
      <w:r w:rsidR="00275BF2" w:rsidRPr="00CD71B2">
        <w:rPr>
          <w:rFonts w:ascii="Arial Narrow" w:hAnsi="Arial Narrow" w:cs="Arial"/>
          <w:b/>
          <w:color w:val="5F5F5F"/>
        </w:rPr>
        <w:t>4</w:t>
      </w:r>
      <w:r w:rsidRPr="00CD71B2">
        <w:rPr>
          <w:rFonts w:ascii="Arial Narrow" w:hAnsi="Arial Narrow" w:cs="Arial"/>
          <w:b/>
          <w:color w:val="5F5F5F"/>
        </w:rPr>
        <w:t>. INDICI DEI PREZZI AL CONSUMO IPCA, PER DIVISIONE DI SPESA</w:t>
      </w:r>
      <w:r w:rsidRPr="00CD71B2">
        <w:rPr>
          <w:rFonts w:ascii="Arial Narrow" w:hAnsi="Arial Narrow" w:cs="Arial"/>
          <w:b/>
          <w:color w:val="5F5F5F"/>
        </w:rPr>
        <w:br/>
      </w:r>
      <w:r w:rsidR="007C6923">
        <w:rPr>
          <w:rFonts w:ascii="Arial Narrow" w:hAnsi="Arial Narrow" w:cs="Arial"/>
          <w:sz w:val="19"/>
          <w:szCs w:val="19"/>
        </w:rPr>
        <w:t>Giugno</w:t>
      </w:r>
      <w:r w:rsidR="00991F38" w:rsidRPr="00CD71B2">
        <w:rPr>
          <w:rFonts w:ascii="Arial Narrow" w:hAnsi="Arial Narrow" w:cs="Arial"/>
          <w:sz w:val="19"/>
          <w:szCs w:val="19"/>
        </w:rPr>
        <w:t xml:space="preserve"> 201</w:t>
      </w:r>
      <w:r w:rsidR="00B66CA0" w:rsidRPr="00CD71B2">
        <w:rPr>
          <w:rFonts w:ascii="Arial Narrow" w:hAnsi="Arial Narrow" w:cs="Arial"/>
          <w:sz w:val="19"/>
          <w:szCs w:val="19"/>
        </w:rPr>
        <w:t>6</w:t>
      </w:r>
      <w:r w:rsidRPr="00CD71B2">
        <w:rPr>
          <w:rFonts w:ascii="Arial Narrow" w:hAnsi="Arial Narrow" w:cs="Arial"/>
          <w:sz w:val="19"/>
          <w:szCs w:val="19"/>
        </w:rPr>
        <w:t>, pesi e variazioni percentuali (base 20</w:t>
      </w:r>
      <w:r w:rsidR="009B104A">
        <w:rPr>
          <w:rFonts w:ascii="Arial Narrow" w:hAnsi="Arial Narrow" w:cs="Arial"/>
          <w:sz w:val="19"/>
          <w:szCs w:val="19"/>
        </w:rPr>
        <w:t>15</w:t>
      </w:r>
      <w:r w:rsidRPr="00CD71B2">
        <w:rPr>
          <w:rFonts w:ascii="Arial Narrow" w:hAnsi="Arial Narrow" w:cs="Arial"/>
          <w:sz w:val="19"/>
          <w:szCs w:val="19"/>
        </w:rPr>
        <w:t>=100)</w:t>
      </w:r>
      <w:r w:rsidR="006714E2">
        <w:rPr>
          <w:rFonts w:ascii="Arial Narrow" w:hAnsi="Arial Narrow" w:cs="Arial"/>
          <w:sz w:val="19"/>
          <w:szCs w:val="19"/>
        </w:rPr>
        <w:t xml:space="preserve"> (a)</w:t>
      </w:r>
    </w:p>
    <w:tbl>
      <w:tblPr>
        <w:tblW w:w="8789" w:type="dxa"/>
        <w:tblInd w:w="1913" w:type="dxa"/>
        <w:tblBorders>
          <w:top w:val="single" w:sz="6" w:space="0" w:color="808080"/>
          <w:bottom w:val="single" w:sz="6" w:space="0" w:color="808080"/>
          <w:insideH w:val="single" w:sz="6" w:space="0" w:color="808080"/>
        </w:tblBorders>
        <w:tblCellMar>
          <w:left w:w="70" w:type="dxa"/>
          <w:right w:w="0" w:type="dxa"/>
        </w:tblCellMar>
        <w:tblLook w:val="0000" w:firstRow="0" w:lastRow="0" w:firstColumn="0" w:lastColumn="0" w:noHBand="0" w:noVBand="0"/>
      </w:tblPr>
      <w:tblGrid>
        <w:gridCol w:w="3308"/>
        <w:gridCol w:w="1108"/>
        <w:gridCol w:w="842"/>
        <w:gridCol w:w="842"/>
        <w:gridCol w:w="842"/>
        <w:gridCol w:w="842"/>
        <w:gridCol w:w="1005"/>
      </w:tblGrid>
      <w:tr w:rsidR="004C2506" w:rsidRPr="00EA0885" w:rsidTr="00FA5DE4">
        <w:trPr>
          <w:trHeight w:val="255"/>
        </w:trPr>
        <w:tc>
          <w:tcPr>
            <w:tcW w:w="3308" w:type="dxa"/>
            <w:vMerge w:val="restart"/>
            <w:vAlign w:val="center"/>
          </w:tcPr>
          <w:p w:rsidR="004C2506" w:rsidRPr="00EA0885" w:rsidRDefault="004C2506" w:rsidP="00B7563F">
            <w:pPr>
              <w:spacing w:before="40" w:after="20"/>
              <w:ind w:left="-57"/>
              <w:rPr>
                <w:rFonts w:ascii="Arial Narrow" w:hAnsi="Arial Narrow" w:cs="Arial"/>
                <w:bCs/>
                <w:sz w:val="18"/>
                <w:szCs w:val="18"/>
              </w:rPr>
            </w:pPr>
            <w:r w:rsidRPr="00EA0885">
              <w:rPr>
                <w:rFonts w:ascii="Arial Narrow" w:hAnsi="Arial Narrow" w:cs="Arial"/>
                <w:b/>
                <w:bCs/>
                <w:sz w:val="18"/>
                <w:szCs w:val="18"/>
              </w:rPr>
              <w:t>Divisioni</w:t>
            </w:r>
            <w:r>
              <w:rPr>
                <w:rFonts w:ascii="Arial Narrow" w:hAnsi="Arial Narrow" w:cs="Arial"/>
                <w:b/>
                <w:bCs/>
                <w:sz w:val="18"/>
                <w:szCs w:val="18"/>
              </w:rPr>
              <w:t xml:space="preserve"> di spesa</w:t>
            </w:r>
          </w:p>
        </w:tc>
        <w:tc>
          <w:tcPr>
            <w:tcW w:w="1108" w:type="dxa"/>
            <w:vMerge w:val="restart"/>
            <w:shd w:val="clear" w:color="auto" w:fill="E6E6E6"/>
            <w:vAlign w:val="center"/>
          </w:tcPr>
          <w:p w:rsidR="004C2506" w:rsidRPr="00EA0885" w:rsidRDefault="004C2506" w:rsidP="00940F01">
            <w:pPr>
              <w:spacing w:before="40" w:after="0"/>
              <w:jc w:val="center"/>
              <w:rPr>
                <w:rFonts w:ascii="Arial Narrow" w:hAnsi="Arial Narrow" w:cs="Arial"/>
                <w:b/>
                <w:bCs/>
                <w:sz w:val="18"/>
                <w:szCs w:val="18"/>
              </w:rPr>
            </w:pPr>
            <w:r w:rsidRPr="00EA0885">
              <w:rPr>
                <w:rFonts w:ascii="Arial Narrow" w:hAnsi="Arial Narrow" w:cs="Arial"/>
                <w:b/>
                <w:bCs/>
                <w:sz w:val="18"/>
                <w:szCs w:val="18"/>
              </w:rPr>
              <w:t>Pesi</w:t>
            </w:r>
          </w:p>
        </w:tc>
        <w:tc>
          <w:tcPr>
            <w:tcW w:w="842"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842"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842"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mag-16</w:t>
            </w:r>
          </w:p>
        </w:tc>
        <w:tc>
          <w:tcPr>
            <w:tcW w:w="842"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Pr="007E6455">
              <w:rPr>
                <w:rFonts w:ascii="Arial Narrow" w:hAnsi="Arial Narrow" w:cs="Arial"/>
                <w:b/>
                <w:bCs/>
                <w:snapToGrid w:val="0"/>
                <w:kern w:val="0"/>
                <w:sz w:val="18"/>
                <w:szCs w:val="18"/>
                <w:u w:val="single"/>
              </w:rPr>
              <w:t>-1</w:t>
            </w:r>
            <w:r>
              <w:rPr>
                <w:rFonts w:ascii="Arial Narrow" w:hAnsi="Arial Narrow" w:cs="Arial"/>
                <w:b/>
                <w:bCs/>
                <w:snapToGrid w:val="0"/>
                <w:kern w:val="0"/>
                <w:sz w:val="18"/>
                <w:szCs w:val="18"/>
                <w:u w:val="single"/>
              </w:rPr>
              <w:t>5</w:t>
            </w:r>
          </w:p>
        </w:tc>
        <w:tc>
          <w:tcPr>
            <w:tcW w:w="1005" w:type="dxa"/>
            <w:tcBorders>
              <w:bottom w:val="nil"/>
            </w:tcBorders>
            <w:shd w:val="clear" w:color="auto" w:fill="E6E6E6"/>
            <w:vAlign w:val="center"/>
          </w:tcPr>
          <w:p w:rsidR="004C2506" w:rsidRPr="00BF3E3B" w:rsidRDefault="004C2506" w:rsidP="00F56A0A">
            <w:pPr>
              <w:spacing w:before="40" w:after="0"/>
              <w:jc w:val="center"/>
              <w:rPr>
                <w:rFonts w:ascii="Arial Narrow" w:hAnsi="Arial Narrow" w:cs="Arial"/>
                <w:b/>
                <w:bCs/>
                <w:sz w:val="18"/>
                <w:szCs w:val="18"/>
              </w:rPr>
            </w:pPr>
            <w:r>
              <w:rPr>
                <w:rFonts w:ascii="Arial Narrow" w:hAnsi="Arial Narrow" w:cs="Arial"/>
                <w:b/>
                <w:bCs/>
                <w:snapToGrid w:val="0"/>
                <w:sz w:val="18"/>
                <w:szCs w:val="18"/>
              </w:rPr>
              <w:t>Inflazione</w:t>
            </w:r>
          </w:p>
        </w:tc>
      </w:tr>
      <w:tr w:rsidR="004C2506" w:rsidRPr="00EA0885" w:rsidTr="00FA5DE4">
        <w:trPr>
          <w:trHeight w:val="270"/>
        </w:trPr>
        <w:tc>
          <w:tcPr>
            <w:tcW w:w="3308" w:type="dxa"/>
            <w:vMerge/>
            <w:vAlign w:val="center"/>
          </w:tcPr>
          <w:p w:rsidR="004C2506" w:rsidRPr="00EA0885" w:rsidRDefault="004C2506" w:rsidP="00B7563F">
            <w:pPr>
              <w:spacing w:before="40" w:after="20"/>
              <w:ind w:left="-57"/>
              <w:rPr>
                <w:rFonts w:ascii="Arial Narrow" w:hAnsi="Arial Narrow" w:cs="Arial"/>
                <w:b/>
                <w:bCs/>
                <w:sz w:val="18"/>
                <w:szCs w:val="18"/>
              </w:rPr>
            </w:pPr>
          </w:p>
        </w:tc>
        <w:tc>
          <w:tcPr>
            <w:tcW w:w="1108" w:type="dxa"/>
            <w:vMerge/>
            <w:shd w:val="clear" w:color="auto" w:fill="E6E6E6"/>
            <w:vAlign w:val="center"/>
          </w:tcPr>
          <w:p w:rsidR="004C2506" w:rsidRPr="00EA0885" w:rsidRDefault="004C2506" w:rsidP="00940F01">
            <w:pPr>
              <w:spacing w:before="40" w:after="20"/>
              <w:rPr>
                <w:rFonts w:ascii="Arial Narrow" w:hAnsi="Arial Narrow" w:cs="Arial"/>
                <w:b/>
                <w:bCs/>
                <w:sz w:val="18"/>
                <w:szCs w:val="18"/>
              </w:rPr>
            </w:pPr>
          </w:p>
        </w:tc>
        <w:tc>
          <w:tcPr>
            <w:tcW w:w="842"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6</w:t>
            </w:r>
          </w:p>
        </w:tc>
        <w:tc>
          <w:tcPr>
            <w:tcW w:w="842"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giu-15</w:t>
            </w:r>
          </w:p>
        </w:tc>
        <w:tc>
          <w:tcPr>
            <w:tcW w:w="842"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mag-15</w:t>
            </w:r>
          </w:p>
        </w:tc>
        <w:tc>
          <w:tcPr>
            <w:tcW w:w="842"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5</w:t>
            </w:r>
          </w:p>
        </w:tc>
        <w:tc>
          <w:tcPr>
            <w:tcW w:w="1005" w:type="dxa"/>
            <w:tcBorders>
              <w:top w:val="nil"/>
            </w:tcBorders>
            <w:shd w:val="clear" w:color="auto" w:fill="E6E6E6"/>
          </w:tcPr>
          <w:p w:rsidR="004C2506" w:rsidRPr="00BF3E3B" w:rsidRDefault="004C2506" w:rsidP="00336EF0">
            <w:pPr>
              <w:spacing w:before="0" w:after="20"/>
              <w:jc w:val="center"/>
              <w:rPr>
                <w:rFonts w:ascii="Arial Narrow" w:hAnsi="Arial Narrow" w:cs="Arial"/>
                <w:b/>
                <w:bCs/>
                <w:sz w:val="18"/>
                <w:szCs w:val="18"/>
              </w:rPr>
            </w:pPr>
            <w:r>
              <w:rPr>
                <w:rFonts w:ascii="Arial Narrow" w:hAnsi="Arial Narrow" w:cs="Arial"/>
                <w:b/>
                <w:bCs/>
                <w:snapToGrid w:val="0"/>
                <w:sz w:val="18"/>
                <w:szCs w:val="18"/>
              </w:rPr>
              <w:t>acquisita</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Prodotti alimentari e bevande analcoliche</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176.326</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Bevande alcoliche e tabacchi</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34.597</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2,0</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1,4</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1,4</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Abbigliamento e calzature</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83.102</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4,9</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Abitazione, acqua, elettricità e combustibili</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122.032</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-2,3</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-2,3</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-2,0</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Mobili, articoli e servizi per la casa</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76.724</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Servizi sanitari e spese per la salute</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41.506</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1,1</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1,0</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Trasporti</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141.802</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-2,4</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-3,0</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-1,8</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Comunicazioni</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28.727</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-1,0</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1,3</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1,9</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Ricreazione, spettacoli e cultura</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60.996</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Istruzione</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13.314</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1,1</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1,2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Servizi ricettivi e di ristorazione</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121.889</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0,4</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0,8</w:t>
            </w:r>
          </w:p>
        </w:tc>
      </w:tr>
      <w:tr w:rsidR="00F27E48" w:rsidRPr="00DC38C6" w:rsidTr="00F27E48">
        <w:trPr>
          <w:trHeight w:val="255"/>
        </w:trPr>
        <w:tc>
          <w:tcPr>
            <w:tcW w:w="3308" w:type="dxa"/>
            <w:vAlign w:val="center"/>
          </w:tcPr>
          <w:p w:rsidR="00F27E48" w:rsidRPr="00EA0885" w:rsidRDefault="00F27E48" w:rsidP="00B7563F">
            <w:pPr>
              <w:spacing w:before="40" w:after="20"/>
              <w:ind w:left="-57"/>
              <w:rPr>
                <w:rFonts w:ascii="Arial Narrow" w:hAnsi="Arial Narrow" w:cs="Arial"/>
                <w:sz w:val="18"/>
                <w:szCs w:val="18"/>
              </w:rPr>
            </w:pPr>
            <w:r w:rsidRPr="00EA0885">
              <w:rPr>
                <w:rFonts w:ascii="Arial Narrow" w:hAnsi="Arial Narrow" w:cs="Arial"/>
                <w:sz w:val="18"/>
                <w:szCs w:val="18"/>
              </w:rPr>
              <w:t>Altri beni e servizi</w:t>
            </w:r>
          </w:p>
        </w:tc>
        <w:tc>
          <w:tcPr>
            <w:tcW w:w="1108" w:type="dxa"/>
            <w:shd w:val="clear" w:color="auto" w:fill="E6E6E6"/>
            <w:vAlign w:val="bottom"/>
          </w:tcPr>
          <w:p w:rsidR="00F27E48" w:rsidRPr="000173B1" w:rsidRDefault="00F27E48" w:rsidP="000173B1">
            <w:pPr>
              <w:spacing w:before="40" w:after="20"/>
              <w:ind w:right="284"/>
              <w:jc w:val="right"/>
              <w:rPr>
                <w:rFonts w:ascii="Arial Narrow" w:hAnsi="Arial Narrow" w:cs="Arial"/>
                <w:sz w:val="18"/>
                <w:szCs w:val="18"/>
              </w:rPr>
            </w:pPr>
            <w:r w:rsidRPr="000173B1">
              <w:rPr>
                <w:rFonts w:ascii="Arial Narrow" w:hAnsi="Arial Narrow" w:cs="Arial"/>
                <w:sz w:val="18"/>
                <w:szCs w:val="18"/>
              </w:rPr>
              <w:t>98.985</w:t>
            </w:r>
          </w:p>
        </w:tc>
        <w:tc>
          <w:tcPr>
            <w:tcW w:w="842" w:type="dxa"/>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42" w:type="dxa"/>
            <w:tcMar>
              <w:left w:w="28" w:type="dxa"/>
              <w:right w:w="85"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42" w:type="dxa"/>
            <w:vAlign w:val="center"/>
          </w:tcPr>
          <w:p w:rsidR="00F27E48" w:rsidRPr="00875F2D" w:rsidRDefault="00F27E48" w:rsidP="000E79A9">
            <w:pPr>
              <w:spacing w:before="40" w:after="20"/>
              <w:ind w:right="284"/>
              <w:jc w:val="right"/>
              <w:rPr>
                <w:rFonts w:ascii="Arial Narrow" w:hAnsi="Arial Narrow" w:cs="Arial"/>
                <w:sz w:val="18"/>
                <w:szCs w:val="18"/>
              </w:rPr>
            </w:pPr>
            <w:r w:rsidRPr="00875F2D">
              <w:rPr>
                <w:rFonts w:ascii="Arial Narrow" w:hAnsi="Arial Narrow" w:cs="Arial"/>
                <w:sz w:val="18"/>
                <w:szCs w:val="18"/>
              </w:rPr>
              <w:t>0,1</w:t>
            </w:r>
          </w:p>
        </w:tc>
        <w:tc>
          <w:tcPr>
            <w:tcW w:w="1005" w:type="dxa"/>
            <w:shd w:val="clear" w:color="auto" w:fill="E6E6E6"/>
            <w:tcMar>
              <w:right w:w="68" w:type="dxa"/>
            </w:tcMar>
            <w:vAlign w:val="center"/>
          </w:tcPr>
          <w:p w:rsidR="00F27E48" w:rsidRPr="00875F2D" w:rsidRDefault="00F27E48" w:rsidP="00F27E48">
            <w:pPr>
              <w:spacing w:before="40" w:after="20"/>
              <w:ind w:right="284"/>
              <w:jc w:val="right"/>
              <w:rPr>
                <w:rFonts w:ascii="Arial Narrow" w:hAnsi="Arial Narrow" w:cs="Arial"/>
                <w:sz w:val="18"/>
                <w:szCs w:val="18"/>
              </w:rPr>
            </w:pPr>
            <w:r w:rsidRPr="00875F2D">
              <w:rPr>
                <w:rFonts w:ascii="Arial Narrow" w:hAnsi="Arial Narrow" w:cs="Arial"/>
                <w:sz w:val="18"/>
                <w:szCs w:val="18"/>
              </w:rPr>
              <w:t>0,3</w:t>
            </w:r>
          </w:p>
        </w:tc>
      </w:tr>
      <w:tr w:rsidR="00F27E48" w:rsidRPr="00DC38C6" w:rsidTr="00F27E48">
        <w:trPr>
          <w:trHeight w:val="284"/>
        </w:trPr>
        <w:tc>
          <w:tcPr>
            <w:tcW w:w="3308" w:type="dxa"/>
            <w:shd w:val="clear" w:color="auto" w:fill="FF0000"/>
            <w:vAlign w:val="center"/>
          </w:tcPr>
          <w:p w:rsidR="00F27E48" w:rsidRPr="00EA0885" w:rsidRDefault="00F27E48" w:rsidP="00940F01">
            <w:pPr>
              <w:spacing w:before="40" w:after="20"/>
              <w:rPr>
                <w:rFonts w:ascii="Arial Narrow" w:hAnsi="Arial Narrow" w:cs="Arial"/>
                <w:b/>
                <w:bCs/>
                <w:color w:val="FFFFFF"/>
                <w:sz w:val="18"/>
                <w:szCs w:val="18"/>
              </w:rPr>
            </w:pPr>
            <w:r w:rsidRPr="00EA0885">
              <w:rPr>
                <w:rFonts w:ascii="Arial Narrow" w:hAnsi="Arial Narrow" w:cs="Arial"/>
                <w:b/>
                <w:bCs/>
                <w:color w:val="FFFFFF"/>
                <w:sz w:val="18"/>
                <w:szCs w:val="18"/>
              </w:rPr>
              <w:t>Indice generale</w:t>
            </w:r>
          </w:p>
        </w:tc>
        <w:tc>
          <w:tcPr>
            <w:tcW w:w="1108" w:type="dxa"/>
            <w:shd w:val="clear" w:color="auto" w:fill="FF0000"/>
            <w:vAlign w:val="bottom"/>
          </w:tcPr>
          <w:p w:rsidR="00F27E48" w:rsidRPr="000173B1" w:rsidRDefault="00F27E48" w:rsidP="000173B1">
            <w:pPr>
              <w:spacing w:before="40" w:after="20"/>
              <w:ind w:right="284"/>
              <w:jc w:val="right"/>
              <w:rPr>
                <w:rFonts w:ascii="Arial Narrow" w:hAnsi="Arial Narrow" w:cs="Arial"/>
                <w:b/>
                <w:color w:val="FFFFFF" w:themeColor="background1"/>
                <w:sz w:val="18"/>
                <w:szCs w:val="18"/>
              </w:rPr>
            </w:pPr>
            <w:r w:rsidRPr="000173B1">
              <w:rPr>
                <w:rFonts w:ascii="Arial Narrow" w:hAnsi="Arial Narrow" w:cs="Arial"/>
                <w:b/>
                <w:color w:val="FFFFFF" w:themeColor="background1"/>
                <w:sz w:val="18"/>
                <w:szCs w:val="18"/>
              </w:rPr>
              <w:t>1.000.000</w:t>
            </w:r>
          </w:p>
        </w:tc>
        <w:tc>
          <w:tcPr>
            <w:tcW w:w="842" w:type="dxa"/>
            <w:shd w:val="clear" w:color="auto" w:fill="FF0000"/>
            <w:vAlign w:val="center"/>
          </w:tcPr>
          <w:p w:rsidR="00F27E48" w:rsidRPr="00875F2D" w:rsidRDefault="00F27E48" w:rsidP="006C763E">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842" w:type="dxa"/>
            <w:shd w:val="clear" w:color="auto" w:fill="FF0000"/>
            <w:tcMar>
              <w:left w:w="57" w:type="dxa"/>
              <w:right w:w="113" w:type="dxa"/>
            </w:tcMar>
            <w:vAlign w:val="center"/>
          </w:tcPr>
          <w:p w:rsidR="00F27E48" w:rsidRPr="00875F2D" w:rsidRDefault="00F27E48" w:rsidP="00FA17E7">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842" w:type="dxa"/>
            <w:shd w:val="clear" w:color="auto" w:fill="FF0000"/>
            <w:vAlign w:val="center"/>
          </w:tcPr>
          <w:p w:rsidR="00F27E48" w:rsidRPr="00875F2D" w:rsidRDefault="00F27E48" w:rsidP="000E79A9">
            <w:pPr>
              <w:spacing w:before="40" w:after="20"/>
              <w:ind w:right="284"/>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842" w:type="dxa"/>
            <w:shd w:val="clear" w:color="auto" w:fill="FF0000"/>
            <w:vAlign w:val="center"/>
          </w:tcPr>
          <w:p w:rsidR="00F27E48" w:rsidRPr="00875F2D" w:rsidRDefault="00F27E48" w:rsidP="000E79A9">
            <w:pPr>
              <w:spacing w:before="40" w:after="20"/>
              <w:ind w:right="284"/>
              <w:jc w:val="right"/>
              <w:rPr>
                <w:rFonts w:ascii="Arial Narrow" w:hAnsi="Arial Narrow" w:cs="Arial"/>
                <w:b/>
                <w:color w:val="FFFFFF"/>
                <w:sz w:val="18"/>
                <w:szCs w:val="18"/>
              </w:rPr>
            </w:pPr>
            <w:r w:rsidRPr="00875F2D">
              <w:rPr>
                <w:rFonts w:ascii="Arial Narrow" w:hAnsi="Arial Narrow" w:cs="Arial"/>
                <w:b/>
                <w:color w:val="FFFFFF"/>
                <w:sz w:val="18"/>
                <w:szCs w:val="18"/>
              </w:rPr>
              <w:t>0,2</w:t>
            </w:r>
          </w:p>
        </w:tc>
        <w:tc>
          <w:tcPr>
            <w:tcW w:w="1005" w:type="dxa"/>
            <w:shd w:val="clear" w:color="auto" w:fill="FF0000"/>
            <w:tcMar>
              <w:right w:w="68" w:type="dxa"/>
            </w:tcMar>
            <w:vAlign w:val="center"/>
          </w:tcPr>
          <w:p w:rsidR="00F27E48" w:rsidRPr="00875F2D" w:rsidRDefault="00F27E48" w:rsidP="00F27E48">
            <w:pPr>
              <w:spacing w:before="40" w:after="20"/>
              <w:ind w:right="284"/>
              <w:jc w:val="right"/>
              <w:rPr>
                <w:rFonts w:ascii="Arial Narrow" w:hAnsi="Arial Narrow" w:cs="Arial"/>
                <w:b/>
                <w:color w:val="FFFFFF"/>
                <w:sz w:val="18"/>
                <w:szCs w:val="18"/>
              </w:rPr>
            </w:pPr>
            <w:r w:rsidRPr="00875F2D">
              <w:rPr>
                <w:rFonts w:ascii="Arial Narrow" w:hAnsi="Arial Narrow" w:cs="Arial"/>
                <w:b/>
                <w:color w:val="FFFFFF"/>
                <w:sz w:val="18"/>
                <w:szCs w:val="18"/>
              </w:rPr>
              <w:t>0,2</w:t>
            </w:r>
          </w:p>
        </w:tc>
      </w:tr>
    </w:tbl>
    <w:p w:rsidR="006714E2" w:rsidRPr="005A1483" w:rsidRDefault="006714E2" w:rsidP="006714E2">
      <w:pPr>
        <w:pStyle w:val="Corpotesto"/>
        <w:spacing w:before="60" w:line="240" w:lineRule="auto"/>
        <w:ind w:left="1814"/>
        <w:jc w:val="both"/>
        <w:rPr>
          <w:rFonts w:ascii="Arial" w:hAnsi="Arial" w:cs="Arial"/>
          <w:sz w:val="15"/>
          <w:szCs w:val="15"/>
        </w:rPr>
      </w:pPr>
      <w:r w:rsidRPr="009A7BA5">
        <w:rPr>
          <w:rFonts w:ascii="Arial Narrow" w:hAnsi="Arial Narrow" w:cs="Arial"/>
          <w:sz w:val="15"/>
          <w:szCs w:val="15"/>
        </w:rPr>
        <w:t>a)</w:t>
      </w:r>
      <w:r w:rsidRPr="00D72F92">
        <w:rPr>
          <w:rFonts w:ascii="Arial Narrow" w:hAnsi="Arial Narrow" w:cs="Arial"/>
          <w:sz w:val="15"/>
          <w:szCs w:val="15"/>
        </w:rPr>
        <w:t xml:space="preserve"> le variazioni tendenziali</w:t>
      </w:r>
      <w:r w:rsidR="00884671">
        <w:rPr>
          <w:rFonts w:ascii="Arial Narrow" w:hAnsi="Arial Narrow" w:cs="Arial"/>
          <w:sz w:val="15"/>
          <w:szCs w:val="15"/>
        </w:rPr>
        <w:t xml:space="preserve"> </w:t>
      </w:r>
      <w:r w:rsidRPr="00D72F92">
        <w:rPr>
          <w:rFonts w:ascii="Arial Narrow" w:hAnsi="Arial Narrow" w:cs="Arial"/>
          <w:sz w:val="15"/>
          <w:szCs w:val="15"/>
        </w:rPr>
        <w:t xml:space="preserve">e l’inflazione acquisita, con l’aggiornamento della base di riferimento degli indici </w:t>
      </w:r>
      <w:r>
        <w:rPr>
          <w:rFonts w:ascii="Arial Narrow" w:hAnsi="Arial Narrow" w:cs="Arial"/>
          <w:sz w:val="15"/>
          <w:szCs w:val="15"/>
        </w:rPr>
        <w:t>IPCA</w:t>
      </w:r>
      <w:r w:rsidRPr="00D72F92">
        <w:rPr>
          <w:rFonts w:ascii="Arial Narrow" w:hAnsi="Arial Narrow" w:cs="Arial"/>
          <w:sz w:val="15"/>
          <w:szCs w:val="15"/>
        </w:rPr>
        <w:t xml:space="preserve"> all’anno</w:t>
      </w:r>
      <w:r>
        <w:rPr>
          <w:rFonts w:ascii="Arial Narrow" w:hAnsi="Arial Narrow" w:cs="Arial"/>
          <w:sz w:val="15"/>
          <w:szCs w:val="15"/>
        </w:rPr>
        <w:t xml:space="preserve"> </w:t>
      </w:r>
      <w:r w:rsidRPr="00D72F92">
        <w:rPr>
          <w:rFonts w:ascii="Arial Narrow" w:hAnsi="Arial Narrow" w:cs="Arial"/>
          <w:sz w:val="15"/>
          <w:szCs w:val="15"/>
        </w:rPr>
        <w:t>201</w:t>
      </w:r>
      <w:r>
        <w:rPr>
          <w:rFonts w:ascii="Arial Narrow" w:hAnsi="Arial Narrow" w:cs="Arial"/>
          <w:sz w:val="15"/>
          <w:szCs w:val="15"/>
        </w:rPr>
        <w:t xml:space="preserve">5 </w:t>
      </w:r>
      <w:r w:rsidRPr="00D72F92">
        <w:rPr>
          <w:rFonts w:ascii="Arial Narrow" w:hAnsi="Arial Narrow" w:cs="Arial"/>
          <w:sz w:val="15"/>
          <w:szCs w:val="15"/>
        </w:rPr>
        <w:t xml:space="preserve">(base precedente </w:t>
      </w:r>
      <w:r>
        <w:rPr>
          <w:rFonts w:ascii="Arial Narrow" w:hAnsi="Arial Narrow" w:cs="Arial"/>
          <w:sz w:val="15"/>
          <w:szCs w:val="15"/>
        </w:rPr>
        <w:t>2005</w:t>
      </w:r>
      <w:r w:rsidRPr="00D72F92">
        <w:rPr>
          <w:rFonts w:ascii="Arial Narrow" w:hAnsi="Arial Narrow" w:cs="Arial"/>
          <w:sz w:val="15"/>
          <w:szCs w:val="15"/>
        </w:rPr>
        <w:t xml:space="preserve">=100), sono calcolate utilizzando </w:t>
      </w:r>
      <w:r>
        <w:rPr>
          <w:rFonts w:ascii="Arial Narrow" w:hAnsi="Arial Narrow" w:cs="Arial"/>
          <w:sz w:val="15"/>
          <w:szCs w:val="15"/>
        </w:rPr>
        <w:t>una serie storica slittata nella nuova base</w:t>
      </w:r>
      <w:r w:rsidRPr="00D72F92">
        <w:rPr>
          <w:rFonts w:ascii="Arial Narrow" w:hAnsi="Arial Narrow" w:cs="Arial"/>
          <w:sz w:val="15"/>
          <w:szCs w:val="15"/>
        </w:rPr>
        <w:t>.</w:t>
      </w:r>
    </w:p>
    <w:p w:rsidR="004E23DD" w:rsidRPr="00725109" w:rsidRDefault="004E23DD" w:rsidP="004E23DD">
      <w:pPr>
        <w:widowControl/>
        <w:overflowPunct/>
        <w:autoSpaceDE/>
        <w:autoSpaceDN/>
        <w:adjustRightInd/>
        <w:spacing w:before="240" w:after="240"/>
        <w:ind w:left="1814"/>
        <w:jc w:val="both"/>
        <w:rPr>
          <w:rFonts w:ascii="Arial" w:hAnsi="Arial" w:cs="Arial"/>
          <w:iCs/>
          <w:noProof/>
          <w:kern w:val="0"/>
        </w:rPr>
      </w:pPr>
      <w:r w:rsidRPr="00725109">
        <w:rPr>
          <w:rFonts w:ascii="Arial" w:hAnsi="Arial" w:cs="Arial"/>
          <w:iCs/>
          <w:noProof/>
          <w:kern w:val="0"/>
        </w:rPr>
        <w:t xml:space="preserve">In termini tendenziali, </w:t>
      </w:r>
      <w:r>
        <w:rPr>
          <w:rFonts w:ascii="Arial" w:hAnsi="Arial" w:cs="Arial"/>
          <w:iCs/>
          <w:noProof/>
          <w:kern w:val="0"/>
        </w:rPr>
        <w:t>dieci divisioni di spesa presentano prezzi in aumento e due in diminuzione.</w:t>
      </w:r>
      <w:r w:rsidRPr="00725109">
        <w:rPr>
          <w:rFonts w:ascii="Arial" w:hAnsi="Arial" w:cs="Arial"/>
          <w:iCs/>
          <w:noProof/>
          <w:kern w:val="0"/>
        </w:rPr>
        <w:t xml:space="preserve"> </w:t>
      </w:r>
      <w:r>
        <w:rPr>
          <w:rFonts w:ascii="Arial" w:hAnsi="Arial" w:cs="Arial"/>
          <w:iCs/>
          <w:noProof/>
          <w:kern w:val="0"/>
        </w:rPr>
        <w:t>Tra quelle i cui prezzi sono in aumento, g</w:t>
      </w:r>
      <w:r w:rsidRPr="00725109">
        <w:rPr>
          <w:rFonts w:ascii="Arial" w:hAnsi="Arial" w:cs="Arial"/>
          <w:iCs/>
          <w:noProof/>
          <w:kern w:val="0"/>
        </w:rPr>
        <w:t>li incrementi tendenziali più</w:t>
      </w:r>
      <w:r>
        <w:rPr>
          <w:rFonts w:ascii="Arial" w:hAnsi="Arial" w:cs="Arial"/>
          <w:iCs/>
          <w:noProof/>
          <w:kern w:val="0"/>
        </w:rPr>
        <w:t xml:space="preserve"> elevati interessano i prezzi delle Bevande alcoliche e tabacchi (+2,0%), delle Comunicazioni (+1,3%), dei</w:t>
      </w:r>
      <w:r w:rsidRPr="00725109">
        <w:rPr>
          <w:rFonts w:ascii="Arial" w:hAnsi="Arial" w:cs="Arial"/>
          <w:iCs/>
          <w:noProof/>
          <w:kern w:val="0"/>
        </w:rPr>
        <w:t xml:space="preserve"> Servizi sanitari e spese per la salute e </w:t>
      </w:r>
      <w:r>
        <w:rPr>
          <w:rFonts w:ascii="Arial" w:hAnsi="Arial" w:cs="Arial"/>
          <w:iCs/>
          <w:noProof/>
          <w:kern w:val="0"/>
        </w:rPr>
        <w:t>dell’</w:t>
      </w:r>
      <w:r w:rsidRPr="00725109">
        <w:rPr>
          <w:rFonts w:ascii="Arial" w:hAnsi="Arial" w:cs="Arial"/>
          <w:iCs/>
          <w:noProof/>
          <w:kern w:val="0"/>
        </w:rPr>
        <w:t>Istruzione (+1,</w:t>
      </w:r>
      <w:r>
        <w:rPr>
          <w:rFonts w:ascii="Arial" w:hAnsi="Arial" w:cs="Arial"/>
          <w:iCs/>
          <w:noProof/>
          <w:kern w:val="0"/>
        </w:rPr>
        <w:t>1</w:t>
      </w:r>
      <w:r w:rsidRPr="00725109">
        <w:rPr>
          <w:rFonts w:ascii="Arial" w:hAnsi="Arial" w:cs="Arial"/>
          <w:iCs/>
          <w:noProof/>
          <w:kern w:val="0"/>
        </w:rPr>
        <w:t>% per entrambe</w:t>
      </w:r>
      <w:r>
        <w:rPr>
          <w:rFonts w:ascii="Arial" w:hAnsi="Arial" w:cs="Arial"/>
          <w:iCs/>
          <w:noProof/>
          <w:kern w:val="0"/>
        </w:rPr>
        <w:t xml:space="preserve"> le divisioni di spesa</w:t>
      </w:r>
      <w:r w:rsidRPr="00725109">
        <w:rPr>
          <w:rFonts w:ascii="Arial" w:hAnsi="Arial" w:cs="Arial"/>
          <w:iCs/>
          <w:noProof/>
          <w:kern w:val="0"/>
        </w:rPr>
        <w:t>); quelli più contenuti i prezzi d</w:t>
      </w:r>
      <w:r>
        <w:rPr>
          <w:rFonts w:ascii="Arial" w:hAnsi="Arial" w:cs="Arial"/>
          <w:iCs/>
          <w:noProof/>
          <w:kern w:val="0"/>
        </w:rPr>
        <w:t>egli Altri beni e servizi (+0,1%)</w:t>
      </w:r>
      <w:r w:rsidRPr="00725109">
        <w:rPr>
          <w:rFonts w:ascii="Arial" w:hAnsi="Arial" w:cs="Arial"/>
          <w:iCs/>
          <w:noProof/>
          <w:kern w:val="0"/>
        </w:rPr>
        <w:t xml:space="preserve">. </w:t>
      </w:r>
      <w:r>
        <w:rPr>
          <w:rFonts w:ascii="Arial" w:hAnsi="Arial" w:cs="Arial"/>
          <w:iCs/>
          <w:noProof/>
          <w:kern w:val="0"/>
        </w:rPr>
        <w:t xml:space="preserve">Tra le divisioni di spesa i cui prezzi sono in diminuzione, </w:t>
      </w:r>
      <w:r w:rsidRPr="00725109">
        <w:rPr>
          <w:rFonts w:ascii="Arial" w:hAnsi="Arial" w:cs="Arial"/>
          <w:iCs/>
          <w:noProof/>
          <w:kern w:val="0"/>
        </w:rPr>
        <w:t xml:space="preserve">i </w:t>
      </w:r>
      <w:r w:rsidRPr="00725109">
        <w:rPr>
          <w:rFonts w:ascii="Arial" w:hAnsi="Arial" w:cs="Arial"/>
          <w:iCs/>
          <w:noProof/>
          <w:kern w:val="0"/>
        </w:rPr>
        <w:lastRenderedPageBreak/>
        <w:t>Trasporti (-</w:t>
      </w:r>
      <w:r>
        <w:rPr>
          <w:rFonts w:ascii="Arial" w:hAnsi="Arial" w:cs="Arial"/>
          <w:iCs/>
          <w:noProof/>
          <w:kern w:val="0"/>
        </w:rPr>
        <w:t>2</w:t>
      </w:r>
      <w:r w:rsidRPr="00725109">
        <w:rPr>
          <w:rFonts w:ascii="Arial" w:hAnsi="Arial" w:cs="Arial"/>
          <w:iCs/>
          <w:noProof/>
          <w:kern w:val="0"/>
        </w:rPr>
        <w:t>,</w:t>
      </w:r>
      <w:r>
        <w:rPr>
          <w:rFonts w:ascii="Arial" w:hAnsi="Arial" w:cs="Arial"/>
          <w:iCs/>
          <w:noProof/>
          <w:kern w:val="0"/>
        </w:rPr>
        <w:t>4</w:t>
      </w:r>
      <w:r w:rsidRPr="00725109">
        <w:rPr>
          <w:rFonts w:ascii="Arial" w:hAnsi="Arial" w:cs="Arial"/>
          <w:iCs/>
          <w:noProof/>
          <w:kern w:val="0"/>
        </w:rPr>
        <w:t xml:space="preserve">%) registrano la flessione più </w:t>
      </w:r>
      <w:r>
        <w:rPr>
          <w:rFonts w:ascii="Arial" w:hAnsi="Arial" w:cs="Arial"/>
          <w:iCs/>
          <w:noProof/>
          <w:kern w:val="0"/>
        </w:rPr>
        <w:t xml:space="preserve">marcata anche se in attenuazione rispetto al mese precedente (-3,0%), mentre </w:t>
      </w:r>
      <w:r w:rsidRPr="00725109">
        <w:rPr>
          <w:rFonts w:ascii="Arial" w:hAnsi="Arial" w:cs="Arial"/>
          <w:iCs/>
          <w:noProof/>
          <w:kern w:val="0"/>
        </w:rPr>
        <w:t>i prezzi di Abitazione, acqua, elettricità e combustibili</w:t>
      </w:r>
      <w:r>
        <w:rPr>
          <w:rFonts w:ascii="Arial" w:hAnsi="Arial" w:cs="Arial"/>
          <w:iCs/>
          <w:noProof/>
          <w:kern w:val="0"/>
        </w:rPr>
        <w:t xml:space="preserve"> diminuiscono, come a maggio, del 2,3%</w:t>
      </w:r>
      <w:r w:rsidRPr="00725109">
        <w:rPr>
          <w:rFonts w:ascii="Arial" w:hAnsi="Arial" w:cs="Arial"/>
          <w:iCs/>
          <w:noProof/>
          <w:kern w:val="0"/>
        </w:rPr>
        <w:t xml:space="preserve">. </w:t>
      </w:r>
    </w:p>
    <w:p w:rsidR="000F4D00" w:rsidRPr="002A3DE5" w:rsidRDefault="000F4D00" w:rsidP="00E47D3F">
      <w:pPr>
        <w:widowControl/>
        <w:tabs>
          <w:tab w:val="left" w:pos="2041"/>
        </w:tabs>
        <w:overflowPunct/>
        <w:spacing w:before="0" w:after="80"/>
        <w:ind w:left="1803"/>
        <w:jc w:val="both"/>
        <w:rPr>
          <w:rFonts w:ascii="Arial" w:hAnsi="Arial" w:cs="Arial"/>
          <w:b/>
        </w:rPr>
      </w:pPr>
      <w:r>
        <w:rPr>
          <w:rFonts w:ascii="Arial" w:hAnsi="Arial" w:cs="Arial"/>
          <w:b/>
        </w:rPr>
        <w:t>Gli aggregati speciali</w:t>
      </w:r>
    </w:p>
    <w:p w:rsidR="00142E6F" w:rsidRPr="00725109" w:rsidRDefault="00142E6F" w:rsidP="00142E6F">
      <w:pPr>
        <w:widowControl/>
        <w:overflowPunct/>
        <w:autoSpaceDE/>
        <w:autoSpaceDN/>
        <w:adjustRightInd/>
        <w:spacing w:before="0" w:after="120"/>
        <w:ind w:left="1814"/>
        <w:jc w:val="both"/>
        <w:rPr>
          <w:rFonts w:ascii="Arial" w:hAnsi="Arial" w:cs="Arial"/>
          <w:kern w:val="0"/>
        </w:rPr>
      </w:pPr>
      <w:r w:rsidRPr="00725109">
        <w:rPr>
          <w:rFonts w:ascii="Arial" w:hAnsi="Arial" w:cs="Arial"/>
          <w:kern w:val="0"/>
        </w:rPr>
        <w:t>Considerando i principali aggregati speciali dell’IPCA, a</w:t>
      </w:r>
      <w:r>
        <w:rPr>
          <w:rFonts w:ascii="Arial" w:hAnsi="Arial" w:cs="Arial"/>
          <w:kern w:val="0"/>
        </w:rPr>
        <w:t xml:space="preserve"> giugno </w:t>
      </w:r>
      <w:r w:rsidRPr="00725109">
        <w:rPr>
          <w:rFonts w:ascii="Arial" w:hAnsi="Arial" w:cs="Arial"/>
          <w:kern w:val="0"/>
        </w:rPr>
        <w:t xml:space="preserve">i prezzi dei Beni alimentari (incluse bevande alcoliche) e tabacchi </w:t>
      </w:r>
      <w:r>
        <w:rPr>
          <w:rFonts w:ascii="Arial" w:hAnsi="Arial" w:cs="Arial"/>
          <w:kern w:val="0"/>
        </w:rPr>
        <w:t>aumentano</w:t>
      </w:r>
      <w:r w:rsidRPr="00725109">
        <w:rPr>
          <w:rFonts w:ascii="Arial" w:hAnsi="Arial" w:cs="Arial"/>
          <w:kern w:val="0"/>
        </w:rPr>
        <w:t xml:space="preserve"> dello 0,</w:t>
      </w:r>
      <w:r>
        <w:rPr>
          <w:rFonts w:ascii="Arial" w:hAnsi="Arial" w:cs="Arial"/>
          <w:kern w:val="0"/>
        </w:rPr>
        <w:t>2</w:t>
      </w:r>
      <w:r w:rsidRPr="00725109">
        <w:rPr>
          <w:rFonts w:ascii="Arial" w:hAnsi="Arial" w:cs="Arial"/>
          <w:kern w:val="0"/>
        </w:rPr>
        <w:t>% in termini congiunturali e mostrano un</w:t>
      </w:r>
      <w:r>
        <w:rPr>
          <w:rFonts w:ascii="Arial" w:hAnsi="Arial" w:cs="Arial"/>
          <w:kern w:val="0"/>
        </w:rPr>
        <w:t xml:space="preserve">a lieve accelerazione della crescita tendenziale </w:t>
      </w:r>
      <w:r w:rsidRPr="00725109">
        <w:rPr>
          <w:rFonts w:ascii="Arial" w:hAnsi="Arial" w:cs="Arial"/>
          <w:kern w:val="0"/>
        </w:rPr>
        <w:t>(</w:t>
      </w:r>
      <w:r>
        <w:rPr>
          <w:rFonts w:ascii="Arial" w:hAnsi="Arial" w:cs="Arial"/>
          <w:kern w:val="0"/>
        </w:rPr>
        <w:t>+</w:t>
      </w:r>
      <w:r w:rsidRPr="00725109">
        <w:rPr>
          <w:rFonts w:ascii="Arial" w:hAnsi="Arial" w:cs="Arial"/>
          <w:kern w:val="0"/>
        </w:rPr>
        <w:t>0,</w:t>
      </w:r>
      <w:r>
        <w:rPr>
          <w:rFonts w:ascii="Arial" w:hAnsi="Arial" w:cs="Arial"/>
          <w:kern w:val="0"/>
        </w:rPr>
        <w:t>5</w:t>
      </w:r>
      <w:r w:rsidRPr="00725109">
        <w:rPr>
          <w:rFonts w:ascii="Arial" w:hAnsi="Arial" w:cs="Arial"/>
          <w:kern w:val="0"/>
        </w:rPr>
        <w:t xml:space="preserve">%, </w:t>
      </w:r>
      <w:r>
        <w:rPr>
          <w:rFonts w:ascii="Arial" w:hAnsi="Arial" w:cs="Arial"/>
          <w:kern w:val="0"/>
        </w:rPr>
        <w:t>era +0,4% a maggio</w:t>
      </w:r>
      <w:r w:rsidRPr="00725109">
        <w:rPr>
          <w:rFonts w:ascii="Arial" w:hAnsi="Arial" w:cs="Arial"/>
          <w:kern w:val="0"/>
        </w:rPr>
        <w:t xml:space="preserve">) (Prospetto 5). </w:t>
      </w:r>
    </w:p>
    <w:p w:rsidR="00142E6F" w:rsidRPr="00725109" w:rsidRDefault="00142E6F" w:rsidP="00142E6F">
      <w:pPr>
        <w:widowControl/>
        <w:overflowPunct/>
        <w:autoSpaceDE/>
        <w:autoSpaceDN/>
        <w:adjustRightInd/>
        <w:spacing w:before="0" w:after="120"/>
        <w:ind w:left="1814"/>
        <w:jc w:val="both"/>
        <w:rPr>
          <w:rFonts w:ascii="Arial" w:hAnsi="Arial" w:cs="Arial"/>
          <w:kern w:val="0"/>
        </w:rPr>
      </w:pPr>
      <w:r w:rsidRPr="00725109">
        <w:rPr>
          <w:rFonts w:ascii="Arial" w:hAnsi="Arial" w:cs="Arial"/>
          <w:kern w:val="0"/>
        </w:rPr>
        <w:t>I prezzi dell’Energia registrano un ri</w:t>
      </w:r>
      <w:r>
        <w:rPr>
          <w:rFonts w:ascii="Arial" w:hAnsi="Arial" w:cs="Arial"/>
          <w:kern w:val="0"/>
        </w:rPr>
        <w:t>alzo</w:t>
      </w:r>
      <w:r w:rsidRPr="00725109">
        <w:rPr>
          <w:rFonts w:ascii="Arial" w:hAnsi="Arial" w:cs="Arial"/>
          <w:kern w:val="0"/>
        </w:rPr>
        <w:t xml:space="preserve"> mensile dell</w:t>
      </w:r>
      <w:r>
        <w:rPr>
          <w:rFonts w:ascii="Arial" w:hAnsi="Arial" w:cs="Arial"/>
          <w:kern w:val="0"/>
        </w:rPr>
        <w:t>’1,0</w:t>
      </w:r>
      <w:r w:rsidRPr="00725109">
        <w:rPr>
          <w:rFonts w:ascii="Arial" w:hAnsi="Arial" w:cs="Arial"/>
          <w:kern w:val="0"/>
        </w:rPr>
        <w:t xml:space="preserve">% e una flessione su base annua </w:t>
      </w:r>
      <w:r>
        <w:rPr>
          <w:rFonts w:ascii="Arial" w:hAnsi="Arial" w:cs="Arial"/>
          <w:kern w:val="0"/>
        </w:rPr>
        <w:t>(-7,5%) meno ampia di quasi un punto percentuale rispetto a quella rilevata a maggio (</w:t>
      </w:r>
      <w:r w:rsidRPr="00725109">
        <w:rPr>
          <w:rFonts w:ascii="Arial" w:hAnsi="Arial" w:cs="Arial"/>
          <w:kern w:val="0"/>
        </w:rPr>
        <w:t>-</w:t>
      </w:r>
      <w:r>
        <w:rPr>
          <w:rFonts w:ascii="Arial" w:hAnsi="Arial" w:cs="Arial"/>
          <w:kern w:val="0"/>
        </w:rPr>
        <w:t>8</w:t>
      </w:r>
      <w:r w:rsidRPr="00725109">
        <w:rPr>
          <w:rFonts w:ascii="Arial" w:hAnsi="Arial" w:cs="Arial"/>
          <w:kern w:val="0"/>
        </w:rPr>
        <w:t>,</w:t>
      </w:r>
      <w:r>
        <w:rPr>
          <w:rFonts w:ascii="Arial" w:hAnsi="Arial" w:cs="Arial"/>
          <w:kern w:val="0"/>
        </w:rPr>
        <w:t>4</w:t>
      </w:r>
      <w:r w:rsidRPr="00725109">
        <w:rPr>
          <w:rFonts w:ascii="Arial" w:hAnsi="Arial" w:cs="Arial"/>
          <w:kern w:val="0"/>
        </w:rPr>
        <w:t>%</w:t>
      </w:r>
      <w:r>
        <w:rPr>
          <w:rFonts w:ascii="Arial" w:hAnsi="Arial" w:cs="Arial"/>
          <w:kern w:val="0"/>
        </w:rPr>
        <w:t>)</w:t>
      </w:r>
      <w:r w:rsidRPr="00725109">
        <w:rPr>
          <w:rFonts w:ascii="Arial" w:hAnsi="Arial" w:cs="Arial"/>
          <w:kern w:val="0"/>
        </w:rPr>
        <w:t>.</w:t>
      </w:r>
    </w:p>
    <w:p w:rsidR="00142E6F" w:rsidRDefault="00142E6F" w:rsidP="00142E6F">
      <w:pPr>
        <w:widowControl/>
        <w:overflowPunct/>
        <w:autoSpaceDE/>
        <w:autoSpaceDN/>
        <w:adjustRightInd/>
        <w:spacing w:before="0" w:after="120"/>
        <w:ind w:left="1814"/>
        <w:jc w:val="both"/>
        <w:rPr>
          <w:rFonts w:ascii="Arial" w:hAnsi="Arial" w:cs="Arial"/>
          <w:kern w:val="0"/>
        </w:rPr>
      </w:pPr>
      <w:r w:rsidRPr="009043B2">
        <w:rPr>
          <w:rFonts w:ascii="Arial" w:hAnsi="Arial" w:cs="Arial"/>
          <w:kern w:val="0"/>
        </w:rPr>
        <w:t>I prezzi dei Beni industriali non energetici diminuiscono dello 0,</w:t>
      </w:r>
      <w:r>
        <w:rPr>
          <w:rFonts w:ascii="Arial" w:hAnsi="Arial" w:cs="Arial"/>
          <w:kern w:val="0"/>
        </w:rPr>
        <w:t>2</w:t>
      </w:r>
      <w:r w:rsidRPr="009043B2">
        <w:rPr>
          <w:rFonts w:ascii="Arial" w:hAnsi="Arial" w:cs="Arial"/>
          <w:kern w:val="0"/>
        </w:rPr>
        <w:t xml:space="preserve">% in termini congiunturali e il tasso di incremento tendenziale decelera di </w:t>
      </w:r>
      <w:r>
        <w:rPr>
          <w:rFonts w:ascii="Arial" w:hAnsi="Arial" w:cs="Arial"/>
          <w:kern w:val="0"/>
        </w:rPr>
        <w:t xml:space="preserve">tre </w:t>
      </w:r>
      <w:r w:rsidRPr="009043B2">
        <w:rPr>
          <w:rFonts w:ascii="Arial" w:hAnsi="Arial" w:cs="Arial"/>
          <w:kern w:val="0"/>
        </w:rPr>
        <w:t>decim</w:t>
      </w:r>
      <w:r>
        <w:rPr>
          <w:rFonts w:ascii="Arial" w:hAnsi="Arial" w:cs="Arial"/>
          <w:kern w:val="0"/>
        </w:rPr>
        <w:t>i</w:t>
      </w:r>
      <w:r w:rsidRPr="009043B2">
        <w:rPr>
          <w:rFonts w:ascii="Arial" w:hAnsi="Arial" w:cs="Arial"/>
          <w:kern w:val="0"/>
        </w:rPr>
        <w:t xml:space="preserve"> di punto percentuale (+0,</w:t>
      </w:r>
      <w:r>
        <w:rPr>
          <w:rFonts w:ascii="Arial" w:hAnsi="Arial" w:cs="Arial"/>
          <w:kern w:val="0"/>
        </w:rPr>
        <w:t>4</w:t>
      </w:r>
      <w:r w:rsidRPr="009043B2">
        <w:rPr>
          <w:rFonts w:ascii="Arial" w:hAnsi="Arial" w:cs="Arial"/>
          <w:kern w:val="0"/>
        </w:rPr>
        <w:t>%, da +0,</w:t>
      </w:r>
      <w:r>
        <w:rPr>
          <w:rFonts w:ascii="Arial" w:hAnsi="Arial" w:cs="Arial"/>
          <w:kern w:val="0"/>
        </w:rPr>
        <w:t>7</w:t>
      </w:r>
      <w:r w:rsidRPr="009043B2">
        <w:rPr>
          <w:rFonts w:ascii="Arial" w:hAnsi="Arial" w:cs="Arial"/>
          <w:kern w:val="0"/>
        </w:rPr>
        <w:t>% del mese precedente).</w:t>
      </w:r>
    </w:p>
    <w:p w:rsidR="00142E6F" w:rsidRPr="00725109" w:rsidRDefault="00142E6F" w:rsidP="00142E6F">
      <w:pPr>
        <w:widowControl/>
        <w:overflowPunct/>
        <w:autoSpaceDE/>
        <w:autoSpaceDN/>
        <w:adjustRightInd/>
        <w:spacing w:before="0" w:after="120"/>
        <w:ind w:left="1814"/>
        <w:jc w:val="both"/>
        <w:rPr>
          <w:rFonts w:ascii="Arial" w:hAnsi="Arial" w:cs="Arial"/>
          <w:kern w:val="0"/>
        </w:rPr>
      </w:pPr>
      <w:r w:rsidRPr="00725109">
        <w:rPr>
          <w:rFonts w:ascii="Arial" w:hAnsi="Arial" w:cs="Arial"/>
          <w:kern w:val="0"/>
        </w:rPr>
        <w:t>Infine, i prezzi dei Servizi crescono dello 0,</w:t>
      </w:r>
      <w:r>
        <w:rPr>
          <w:rFonts w:ascii="Arial" w:hAnsi="Arial" w:cs="Arial"/>
          <w:kern w:val="0"/>
        </w:rPr>
        <w:t>2</w:t>
      </w:r>
      <w:r w:rsidRPr="00725109">
        <w:rPr>
          <w:rFonts w:ascii="Arial" w:hAnsi="Arial" w:cs="Arial"/>
          <w:kern w:val="0"/>
        </w:rPr>
        <w:t xml:space="preserve">% su base mensile e </w:t>
      </w:r>
      <w:r>
        <w:rPr>
          <w:rFonts w:ascii="Arial" w:hAnsi="Arial" w:cs="Arial"/>
          <w:kern w:val="0"/>
        </w:rPr>
        <w:t>registrano una crescita su base annua stabile e pari a +0,5%</w:t>
      </w:r>
      <w:r w:rsidRPr="00725109">
        <w:rPr>
          <w:rFonts w:ascii="Arial" w:hAnsi="Arial" w:cs="Arial"/>
          <w:kern w:val="0"/>
        </w:rPr>
        <w:t>.</w:t>
      </w:r>
    </w:p>
    <w:p w:rsidR="00142E6F" w:rsidRPr="00725109" w:rsidRDefault="00142E6F" w:rsidP="00142E6F">
      <w:pPr>
        <w:widowControl/>
        <w:overflowPunct/>
        <w:autoSpaceDE/>
        <w:autoSpaceDN/>
        <w:adjustRightInd/>
        <w:spacing w:before="0" w:after="120"/>
        <w:ind w:left="1814"/>
        <w:jc w:val="both"/>
        <w:rPr>
          <w:rFonts w:ascii="Arial" w:hAnsi="Arial" w:cs="Arial"/>
          <w:kern w:val="0"/>
        </w:rPr>
      </w:pPr>
      <w:r w:rsidRPr="00725109">
        <w:rPr>
          <w:rFonts w:ascii="Arial" w:hAnsi="Arial" w:cs="Arial"/>
          <w:kern w:val="0"/>
        </w:rPr>
        <w:t xml:space="preserve">La componente di fondo, calcolata al netto dell’energia e degli alimentari freschi, </w:t>
      </w:r>
      <w:r>
        <w:rPr>
          <w:rFonts w:ascii="Arial" w:hAnsi="Arial" w:cs="Arial"/>
          <w:kern w:val="0"/>
        </w:rPr>
        <w:t>scende allo 0,5</w:t>
      </w:r>
      <w:r w:rsidRPr="00725109">
        <w:rPr>
          <w:rFonts w:ascii="Arial" w:hAnsi="Arial" w:cs="Arial"/>
          <w:kern w:val="0"/>
        </w:rPr>
        <w:t>%</w:t>
      </w:r>
      <w:r>
        <w:rPr>
          <w:rFonts w:ascii="Arial" w:hAnsi="Arial" w:cs="Arial"/>
          <w:kern w:val="0"/>
        </w:rPr>
        <w:t xml:space="preserve"> con un rallentamento di un decimo di punto percentuale rispetto a maggio (+0,6%); anche </w:t>
      </w:r>
      <w:r w:rsidRPr="00725109">
        <w:rPr>
          <w:rFonts w:ascii="Arial" w:hAnsi="Arial" w:cs="Arial"/>
          <w:kern w:val="0"/>
        </w:rPr>
        <w:t>l’inflazione calcolata al netto dell’energia, degli alimentari (incluse bevande alcoliche) e dei tabacchi</w:t>
      </w:r>
      <w:r>
        <w:rPr>
          <w:rFonts w:ascii="Arial" w:hAnsi="Arial" w:cs="Arial"/>
          <w:kern w:val="0"/>
        </w:rPr>
        <w:t xml:space="preserve"> e quella a</w:t>
      </w:r>
      <w:r w:rsidRPr="00725109">
        <w:rPr>
          <w:rFonts w:ascii="Arial" w:hAnsi="Arial" w:cs="Arial"/>
          <w:kern w:val="0"/>
        </w:rPr>
        <w:t>l netto dei soli beni energetici</w:t>
      </w:r>
      <w:r>
        <w:rPr>
          <w:rFonts w:ascii="Arial" w:hAnsi="Arial" w:cs="Arial"/>
          <w:kern w:val="0"/>
        </w:rPr>
        <w:t xml:space="preserve">, registrano una crescita su base annua pari a +0,5%, dal </w:t>
      </w:r>
      <w:r w:rsidRPr="00725109">
        <w:rPr>
          <w:rFonts w:ascii="Arial" w:hAnsi="Arial" w:cs="Arial"/>
          <w:kern w:val="0"/>
        </w:rPr>
        <w:t>+0,</w:t>
      </w:r>
      <w:r>
        <w:rPr>
          <w:rFonts w:ascii="Arial" w:hAnsi="Arial" w:cs="Arial"/>
          <w:kern w:val="0"/>
        </w:rPr>
        <w:t>6</w:t>
      </w:r>
      <w:r w:rsidRPr="00725109">
        <w:rPr>
          <w:rFonts w:ascii="Arial" w:hAnsi="Arial" w:cs="Arial"/>
          <w:kern w:val="0"/>
        </w:rPr>
        <w:t>%</w:t>
      </w:r>
      <w:r>
        <w:rPr>
          <w:rFonts w:ascii="Arial" w:hAnsi="Arial" w:cs="Arial"/>
          <w:kern w:val="0"/>
        </w:rPr>
        <w:t xml:space="preserve"> del mese precedente</w:t>
      </w:r>
      <w:r w:rsidRPr="00725109">
        <w:rPr>
          <w:rFonts w:ascii="Arial" w:hAnsi="Arial" w:cs="Arial"/>
          <w:kern w:val="0"/>
        </w:rPr>
        <w:t>.</w:t>
      </w:r>
    </w:p>
    <w:p w:rsidR="000F4D00" w:rsidRDefault="000F4D00" w:rsidP="00C63152">
      <w:pPr>
        <w:spacing w:before="200" w:after="60"/>
        <w:ind w:left="1814"/>
        <w:jc w:val="both"/>
        <w:rPr>
          <w:rFonts w:ascii="Arial" w:hAnsi="Arial" w:cs="Arial"/>
        </w:rPr>
      </w:pPr>
      <w:r w:rsidRPr="00E74835">
        <w:rPr>
          <w:rFonts w:ascii="Arial Narrow" w:hAnsi="Arial Narrow" w:cs="Arial"/>
          <w:b/>
          <w:color w:val="5F5F5F"/>
        </w:rPr>
        <w:t xml:space="preserve">PROSPETTO </w:t>
      </w:r>
      <w:r w:rsidR="00275BF2" w:rsidRPr="00E74835">
        <w:rPr>
          <w:rFonts w:ascii="Arial Narrow" w:hAnsi="Arial Narrow" w:cs="Arial"/>
          <w:b/>
          <w:color w:val="5F5F5F"/>
        </w:rPr>
        <w:t>5</w:t>
      </w:r>
      <w:r w:rsidRPr="00E74835">
        <w:rPr>
          <w:rFonts w:ascii="Arial Narrow" w:hAnsi="Arial Narrow" w:cs="Arial"/>
          <w:b/>
          <w:color w:val="5F5F5F"/>
        </w:rPr>
        <w:t>. INDICI DEI PREZZI AL CONSUMO IPCA, PER AGGREGATI SPECIALI</w:t>
      </w:r>
      <w:r w:rsidRPr="00E74835">
        <w:rPr>
          <w:rFonts w:ascii="Arial Narrow" w:hAnsi="Arial Narrow" w:cs="Arial"/>
          <w:b/>
          <w:color w:val="5F5F5F"/>
        </w:rPr>
        <w:br/>
      </w:r>
      <w:r w:rsidR="007C6923">
        <w:rPr>
          <w:rFonts w:ascii="Arial Narrow" w:hAnsi="Arial Narrow" w:cs="Arial"/>
          <w:sz w:val="19"/>
          <w:szCs w:val="19"/>
        </w:rPr>
        <w:t>Giugno</w:t>
      </w:r>
      <w:r w:rsidR="00EB1BE8" w:rsidRPr="00E74835">
        <w:rPr>
          <w:rFonts w:ascii="Arial Narrow" w:hAnsi="Arial Narrow" w:cs="Arial"/>
          <w:sz w:val="19"/>
          <w:szCs w:val="19"/>
        </w:rPr>
        <w:t xml:space="preserve"> 2016</w:t>
      </w:r>
      <w:r w:rsidRPr="00E74835">
        <w:rPr>
          <w:rFonts w:ascii="Arial Narrow" w:hAnsi="Arial Narrow" w:cs="Arial"/>
          <w:sz w:val="19"/>
          <w:szCs w:val="19"/>
        </w:rPr>
        <w:t>, pesi e variazioni percentuali (base 20</w:t>
      </w:r>
      <w:r w:rsidR="009B104A">
        <w:rPr>
          <w:rFonts w:ascii="Arial Narrow" w:hAnsi="Arial Narrow" w:cs="Arial"/>
          <w:sz w:val="19"/>
          <w:szCs w:val="19"/>
        </w:rPr>
        <w:t>15</w:t>
      </w:r>
      <w:r w:rsidRPr="00E74835">
        <w:rPr>
          <w:rFonts w:ascii="Arial Narrow" w:hAnsi="Arial Narrow" w:cs="Arial"/>
          <w:sz w:val="19"/>
          <w:szCs w:val="19"/>
        </w:rPr>
        <w:t>=100)</w:t>
      </w:r>
      <w:r w:rsidR="00CF4E7B" w:rsidRPr="00CF4E7B">
        <w:rPr>
          <w:rFonts w:ascii="Arial Narrow" w:hAnsi="Arial Narrow" w:cs="Arial"/>
          <w:sz w:val="19"/>
          <w:szCs w:val="19"/>
        </w:rPr>
        <w:t xml:space="preserve"> </w:t>
      </w:r>
      <w:r w:rsidR="00CF4E7B">
        <w:rPr>
          <w:rFonts w:ascii="Arial Narrow" w:hAnsi="Arial Narrow" w:cs="Arial"/>
          <w:sz w:val="19"/>
          <w:szCs w:val="19"/>
        </w:rPr>
        <w:t>(a)</w:t>
      </w:r>
    </w:p>
    <w:tbl>
      <w:tblPr>
        <w:tblW w:w="8789" w:type="dxa"/>
        <w:tblInd w:w="1913" w:type="dxa"/>
        <w:tblBorders>
          <w:top w:val="single" w:sz="4" w:space="0" w:color="808080"/>
          <w:bottom w:val="single" w:sz="4" w:space="0" w:color="808080"/>
          <w:insideH w:val="single" w:sz="4" w:space="0" w:color="808080"/>
        </w:tblBorders>
        <w:tblLayout w:type="fixed"/>
        <w:tblCellMar>
          <w:left w:w="70" w:type="dxa"/>
          <w:right w:w="0" w:type="dxa"/>
        </w:tblCellMar>
        <w:tblLook w:val="0000" w:firstRow="0" w:lastRow="0" w:firstColumn="0" w:lastColumn="0" w:noHBand="0" w:noVBand="0"/>
      </w:tblPr>
      <w:tblGrid>
        <w:gridCol w:w="3767"/>
        <w:gridCol w:w="987"/>
        <w:gridCol w:w="807"/>
        <w:gridCol w:w="807"/>
        <w:gridCol w:w="807"/>
        <w:gridCol w:w="807"/>
        <w:gridCol w:w="807"/>
      </w:tblGrid>
      <w:tr w:rsidR="004C2506" w:rsidRPr="00EA0885" w:rsidTr="00FA0FE1">
        <w:trPr>
          <w:trHeight w:val="255"/>
        </w:trPr>
        <w:tc>
          <w:tcPr>
            <w:tcW w:w="3767" w:type="dxa"/>
            <w:vMerge w:val="restart"/>
            <w:vAlign w:val="center"/>
          </w:tcPr>
          <w:p w:rsidR="004C2506" w:rsidRPr="00EA0885" w:rsidRDefault="004C2506" w:rsidP="00874BDC">
            <w:pPr>
              <w:spacing w:before="40" w:after="20"/>
              <w:ind w:left="-68"/>
              <w:rPr>
                <w:rFonts w:ascii="Arial Narrow" w:hAnsi="Arial Narrow" w:cs="Arial"/>
                <w:b/>
                <w:bCs/>
                <w:sz w:val="18"/>
                <w:szCs w:val="18"/>
              </w:rPr>
            </w:pPr>
            <w:r>
              <w:rPr>
                <w:rFonts w:ascii="Arial Narrow" w:hAnsi="Arial Narrow" w:cs="Arial"/>
                <w:b/>
                <w:bCs/>
                <w:sz w:val="18"/>
                <w:szCs w:val="18"/>
              </w:rPr>
              <w:t>Aggregati speciali</w:t>
            </w:r>
          </w:p>
        </w:tc>
        <w:tc>
          <w:tcPr>
            <w:tcW w:w="987" w:type="dxa"/>
            <w:vMerge w:val="restart"/>
            <w:shd w:val="clear" w:color="auto" w:fill="E0E0E0"/>
            <w:vAlign w:val="center"/>
          </w:tcPr>
          <w:p w:rsidR="004C2506" w:rsidRPr="00EA0885" w:rsidRDefault="004C2506" w:rsidP="00874BDC">
            <w:pPr>
              <w:spacing w:before="40" w:after="20"/>
              <w:jc w:val="center"/>
              <w:rPr>
                <w:rFonts w:ascii="Arial Narrow" w:hAnsi="Arial Narrow" w:cs="Arial"/>
                <w:b/>
                <w:bCs/>
                <w:sz w:val="18"/>
                <w:szCs w:val="18"/>
              </w:rPr>
            </w:pPr>
            <w:r w:rsidRPr="00EA0885">
              <w:rPr>
                <w:rFonts w:ascii="Arial Narrow" w:hAnsi="Arial Narrow" w:cs="Arial"/>
                <w:b/>
                <w:bCs/>
                <w:sz w:val="18"/>
                <w:szCs w:val="18"/>
              </w:rPr>
              <w:t>Pesi</w:t>
            </w:r>
          </w:p>
        </w:tc>
        <w:tc>
          <w:tcPr>
            <w:tcW w:w="807"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807"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giu-16</w:t>
            </w:r>
          </w:p>
        </w:tc>
        <w:tc>
          <w:tcPr>
            <w:tcW w:w="807"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mag-16</w:t>
            </w:r>
          </w:p>
        </w:tc>
        <w:tc>
          <w:tcPr>
            <w:tcW w:w="807" w:type="dxa"/>
            <w:tcBorders>
              <w:bottom w:val="nil"/>
            </w:tcBorders>
            <w:vAlign w:val="bottom"/>
          </w:tcPr>
          <w:p w:rsidR="004C2506" w:rsidRPr="007E6455" w:rsidRDefault="004C2506" w:rsidP="007C6923">
            <w:pPr>
              <w:widowControl/>
              <w:tabs>
                <w:tab w:val="left" w:pos="5093"/>
              </w:tabs>
              <w:overflowPunct/>
              <w:autoSpaceDE/>
              <w:autoSpaceDN/>
              <w:adjustRightInd/>
              <w:spacing w:before="40" w:after="0"/>
              <w:jc w:val="center"/>
              <w:rPr>
                <w:rFonts w:ascii="Arial Narrow" w:hAnsi="Arial Narrow" w:cs="Arial"/>
                <w:b/>
                <w:bCs/>
                <w:snapToGrid w:val="0"/>
                <w:kern w:val="0"/>
                <w:sz w:val="18"/>
                <w:szCs w:val="18"/>
                <w:u w:val="single"/>
              </w:rPr>
            </w:pPr>
            <w:r>
              <w:rPr>
                <w:rFonts w:ascii="Arial Narrow" w:hAnsi="Arial Narrow" w:cs="Arial"/>
                <w:b/>
                <w:bCs/>
                <w:snapToGrid w:val="0"/>
                <w:kern w:val="0"/>
                <w:sz w:val="18"/>
                <w:szCs w:val="18"/>
                <w:u w:val="single"/>
              </w:rPr>
              <w:t>giu</w:t>
            </w:r>
            <w:r w:rsidRPr="007E6455">
              <w:rPr>
                <w:rFonts w:ascii="Arial Narrow" w:hAnsi="Arial Narrow" w:cs="Arial"/>
                <w:b/>
                <w:bCs/>
                <w:snapToGrid w:val="0"/>
                <w:kern w:val="0"/>
                <w:sz w:val="18"/>
                <w:szCs w:val="18"/>
                <w:u w:val="single"/>
              </w:rPr>
              <w:t>-1</w:t>
            </w:r>
            <w:r>
              <w:rPr>
                <w:rFonts w:ascii="Arial Narrow" w:hAnsi="Arial Narrow" w:cs="Arial"/>
                <w:b/>
                <w:bCs/>
                <w:snapToGrid w:val="0"/>
                <w:kern w:val="0"/>
                <w:sz w:val="18"/>
                <w:szCs w:val="18"/>
                <w:u w:val="single"/>
              </w:rPr>
              <w:t>5</w:t>
            </w:r>
          </w:p>
        </w:tc>
        <w:tc>
          <w:tcPr>
            <w:tcW w:w="807" w:type="dxa"/>
            <w:tcBorders>
              <w:bottom w:val="nil"/>
            </w:tcBorders>
            <w:shd w:val="clear" w:color="auto" w:fill="E6E6E6"/>
            <w:vAlign w:val="center"/>
          </w:tcPr>
          <w:p w:rsidR="004C2506" w:rsidRPr="00BF3E3B" w:rsidRDefault="004C2506" w:rsidP="00F56A0A">
            <w:pPr>
              <w:spacing w:before="40" w:after="0"/>
              <w:jc w:val="center"/>
              <w:rPr>
                <w:rFonts w:ascii="Arial Narrow" w:hAnsi="Arial Narrow" w:cs="Arial"/>
                <w:b/>
                <w:bCs/>
                <w:sz w:val="18"/>
                <w:szCs w:val="18"/>
              </w:rPr>
            </w:pPr>
            <w:r>
              <w:rPr>
                <w:rFonts w:ascii="Arial Narrow" w:hAnsi="Arial Narrow" w:cs="Arial"/>
                <w:b/>
                <w:bCs/>
                <w:snapToGrid w:val="0"/>
                <w:sz w:val="18"/>
                <w:szCs w:val="18"/>
              </w:rPr>
              <w:t>Inflazione</w:t>
            </w:r>
          </w:p>
        </w:tc>
      </w:tr>
      <w:tr w:rsidR="004C2506" w:rsidRPr="00EA0885" w:rsidTr="00FA0FE1">
        <w:trPr>
          <w:trHeight w:val="270"/>
        </w:trPr>
        <w:tc>
          <w:tcPr>
            <w:tcW w:w="3767" w:type="dxa"/>
            <w:vMerge/>
            <w:vAlign w:val="center"/>
          </w:tcPr>
          <w:p w:rsidR="004C2506" w:rsidRPr="00EA0885" w:rsidRDefault="004C2506" w:rsidP="00874BDC">
            <w:pPr>
              <w:spacing w:before="40" w:after="20"/>
              <w:rPr>
                <w:rFonts w:ascii="Arial Narrow" w:hAnsi="Arial Narrow" w:cs="Arial"/>
                <w:b/>
                <w:bCs/>
                <w:sz w:val="18"/>
                <w:szCs w:val="18"/>
              </w:rPr>
            </w:pPr>
          </w:p>
        </w:tc>
        <w:tc>
          <w:tcPr>
            <w:tcW w:w="987" w:type="dxa"/>
            <w:vMerge/>
            <w:shd w:val="clear" w:color="auto" w:fill="E0E0E0"/>
            <w:vAlign w:val="center"/>
          </w:tcPr>
          <w:p w:rsidR="004C2506" w:rsidRPr="00EA0885" w:rsidRDefault="004C2506" w:rsidP="00874BDC">
            <w:pPr>
              <w:spacing w:before="40" w:after="20"/>
              <w:rPr>
                <w:rFonts w:ascii="Arial Narrow" w:hAnsi="Arial Narrow" w:cs="Arial"/>
                <w:b/>
                <w:bCs/>
                <w:sz w:val="18"/>
                <w:szCs w:val="18"/>
              </w:rPr>
            </w:pPr>
          </w:p>
        </w:tc>
        <w:tc>
          <w:tcPr>
            <w:tcW w:w="807"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6</w:t>
            </w:r>
          </w:p>
        </w:tc>
        <w:tc>
          <w:tcPr>
            <w:tcW w:w="807"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giu-15</w:t>
            </w:r>
          </w:p>
        </w:tc>
        <w:tc>
          <w:tcPr>
            <w:tcW w:w="807"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mag-15</w:t>
            </w:r>
          </w:p>
        </w:tc>
        <w:tc>
          <w:tcPr>
            <w:tcW w:w="807" w:type="dxa"/>
            <w:tcBorders>
              <w:top w:val="nil"/>
            </w:tcBorders>
          </w:tcPr>
          <w:p w:rsidR="004C2506" w:rsidRPr="007E6455" w:rsidRDefault="004C2506" w:rsidP="007C6923">
            <w:pPr>
              <w:widowControl/>
              <w:tabs>
                <w:tab w:val="left" w:pos="5093"/>
              </w:tabs>
              <w:overflowPunct/>
              <w:autoSpaceDE/>
              <w:autoSpaceDN/>
              <w:adjustRightInd/>
              <w:spacing w:before="0" w:after="20"/>
              <w:jc w:val="center"/>
              <w:rPr>
                <w:rFonts w:ascii="Arial Narrow" w:hAnsi="Arial Narrow" w:cs="Arial"/>
                <w:b/>
                <w:bCs/>
                <w:snapToGrid w:val="0"/>
                <w:kern w:val="0"/>
                <w:sz w:val="18"/>
                <w:szCs w:val="18"/>
              </w:rPr>
            </w:pPr>
            <w:r>
              <w:rPr>
                <w:rFonts w:ascii="Arial Narrow" w:hAnsi="Arial Narrow" w:cs="Arial"/>
                <w:b/>
                <w:bCs/>
                <w:snapToGrid w:val="0"/>
                <w:kern w:val="0"/>
                <w:sz w:val="18"/>
                <w:szCs w:val="18"/>
              </w:rPr>
              <w:t>mag</w:t>
            </w:r>
            <w:r w:rsidRPr="007E6455">
              <w:rPr>
                <w:rFonts w:ascii="Arial Narrow" w:hAnsi="Arial Narrow" w:cs="Arial"/>
                <w:b/>
                <w:bCs/>
                <w:snapToGrid w:val="0"/>
                <w:kern w:val="0"/>
                <w:sz w:val="18"/>
                <w:szCs w:val="18"/>
              </w:rPr>
              <w:t>-1</w:t>
            </w:r>
            <w:r>
              <w:rPr>
                <w:rFonts w:ascii="Arial Narrow" w:hAnsi="Arial Narrow" w:cs="Arial"/>
                <w:b/>
                <w:bCs/>
                <w:snapToGrid w:val="0"/>
                <w:kern w:val="0"/>
                <w:sz w:val="18"/>
                <w:szCs w:val="18"/>
              </w:rPr>
              <w:t>5</w:t>
            </w:r>
          </w:p>
        </w:tc>
        <w:tc>
          <w:tcPr>
            <w:tcW w:w="807" w:type="dxa"/>
            <w:tcBorders>
              <w:top w:val="nil"/>
            </w:tcBorders>
            <w:shd w:val="clear" w:color="auto" w:fill="E0E0E0"/>
          </w:tcPr>
          <w:p w:rsidR="004C2506" w:rsidRPr="00BF3E3B" w:rsidRDefault="004C2506" w:rsidP="00275BF2">
            <w:pPr>
              <w:spacing w:before="0" w:after="20"/>
              <w:jc w:val="center"/>
              <w:rPr>
                <w:rFonts w:ascii="Arial Narrow" w:hAnsi="Arial Narrow" w:cs="Arial"/>
                <w:b/>
                <w:bCs/>
                <w:sz w:val="18"/>
                <w:szCs w:val="18"/>
              </w:rPr>
            </w:pPr>
            <w:r>
              <w:rPr>
                <w:rFonts w:ascii="Arial Narrow" w:hAnsi="Arial Narrow" w:cs="Arial"/>
                <w:b/>
                <w:bCs/>
                <w:snapToGrid w:val="0"/>
                <w:sz w:val="18"/>
                <w:szCs w:val="18"/>
              </w:rPr>
              <w:t>acquisita</w:t>
            </w:r>
          </w:p>
        </w:tc>
      </w:tr>
      <w:tr w:rsidR="00773599" w:rsidRPr="00EA0885" w:rsidTr="00773599">
        <w:tc>
          <w:tcPr>
            <w:tcW w:w="3767" w:type="dxa"/>
            <w:vAlign w:val="center"/>
          </w:tcPr>
          <w:p w:rsidR="00773599" w:rsidRDefault="00773599" w:rsidP="00874BDC">
            <w:pPr>
              <w:spacing w:before="40" w:after="20"/>
              <w:ind w:left="-68"/>
              <w:rPr>
                <w:rFonts w:ascii="Arial Narrow" w:hAnsi="Arial Narrow" w:cs="Arial"/>
                <w:sz w:val="18"/>
                <w:szCs w:val="18"/>
              </w:rPr>
            </w:pPr>
            <w:r w:rsidRPr="00EA0885">
              <w:rPr>
                <w:rFonts w:ascii="Arial Narrow" w:hAnsi="Arial Narrow" w:cs="Arial"/>
                <w:sz w:val="18"/>
                <w:szCs w:val="18"/>
              </w:rPr>
              <w:t>Beni alimentari</w:t>
            </w:r>
            <w:r>
              <w:rPr>
                <w:rFonts w:ascii="Arial Narrow" w:hAnsi="Arial Narrow" w:cs="Arial"/>
                <w:sz w:val="18"/>
                <w:szCs w:val="18"/>
              </w:rPr>
              <w:t xml:space="preserve"> (incluse bevande alcoliche) e tabacchi</w:t>
            </w:r>
            <w:r w:rsidRPr="00EA0885">
              <w:rPr>
                <w:rFonts w:ascii="Arial Narrow" w:hAnsi="Arial Narrow" w:cs="Arial"/>
                <w:sz w:val="18"/>
                <w:szCs w:val="18"/>
              </w:rPr>
              <w:t xml:space="preserve">, </w:t>
            </w:r>
          </w:p>
          <w:p w:rsidR="00773599" w:rsidRPr="00EA0885" w:rsidRDefault="00773599" w:rsidP="00874BDC">
            <w:pPr>
              <w:spacing w:before="40" w:after="20"/>
              <w:ind w:left="-68"/>
              <w:rPr>
                <w:rFonts w:ascii="Arial Narrow" w:hAnsi="Arial Narrow" w:cs="Arial"/>
                <w:sz w:val="18"/>
                <w:szCs w:val="18"/>
              </w:rPr>
            </w:pPr>
            <w:r w:rsidRPr="00EA0885">
              <w:rPr>
                <w:rFonts w:ascii="Arial Narrow" w:hAnsi="Arial Narrow" w:cs="Arial"/>
                <w:sz w:val="18"/>
                <w:szCs w:val="18"/>
              </w:rPr>
              <w:t>di cui:</w:t>
            </w:r>
          </w:p>
        </w:tc>
        <w:tc>
          <w:tcPr>
            <w:tcW w:w="987" w:type="dxa"/>
            <w:shd w:val="clear" w:color="auto" w:fill="E0E0E0"/>
            <w:vAlign w:val="center"/>
          </w:tcPr>
          <w:p w:rsidR="00773599" w:rsidRPr="000924D4" w:rsidRDefault="00773599" w:rsidP="00793858">
            <w:pPr>
              <w:spacing w:before="40" w:after="20"/>
              <w:ind w:right="170"/>
              <w:contextualSpacing/>
              <w:jc w:val="right"/>
              <w:rPr>
                <w:rFonts w:ascii="Arial Narrow" w:hAnsi="Arial Narrow" w:cs="Arial"/>
                <w:sz w:val="18"/>
                <w:szCs w:val="18"/>
              </w:rPr>
            </w:pPr>
            <w:r w:rsidRPr="000924D4">
              <w:rPr>
                <w:rFonts w:ascii="Arial Narrow" w:hAnsi="Arial Narrow" w:cs="Arial"/>
                <w:sz w:val="18"/>
                <w:szCs w:val="18"/>
              </w:rPr>
              <w:t>210.</w:t>
            </w:r>
            <w:r>
              <w:rPr>
                <w:rFonts w:ascii="Arial Narrow" w:hAnsi="Arial Narrow" w:cs="Arial"/>
                <w:sz w:val="18"/>
                <w:szCs w:val="18"/>
              </w:rPr>
              <w:t>923</w:t>
            </w:r>
            <w:r w:rsidRPr="000924D4">
              <w:rPr>
                <w:rFonts w:ascii="Arial Narrow" w:hAnsi="Arial Narrow" w:cs="Arial"/>
                <w:sz w:val="18"/>
                <w:szCs w:val="18"/>
              </w:rPr>
              <w:t xml:space="preserve">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0,2</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0,4</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r>
      <w:tr w:rsidR="00773599" w:rsidRPr="00EA0885" w:rsidTr="00773599">
        <w:trPr>
          <w:trHeight w:val="255"/>
        </w:trPr>
        <w:tc>
          <w:tcPr>
            <w:tcW w:w="3767" w:type="dxa"/>
            <w:vAlign w:val="center"/>
          </w:tcPr>
          <w:p w:rsidR="00773599" w:rsidRPr="00EA0885" w:rsidRDefault="00773599" w:rsidP="006641E0">
            <w:pPr>
              <w:spacing w:before="40" w:after="20"/>
              <w:ind w:left="214"/>
              <w:rPr>
                <w:rFonts w:ascii="Arial Narrow" w:hAnsi="Arial Narrow" w:cs="Arial"/>
                <w:sz w:val="18"/>
                <w:szCs w:val="18"/>
              </w:rPr>
            </w:pPr>
            <w:r w:rsidRPr="00EA0885">
              <w:rPr>
                <w:rFonts w:ascii="Arial Narrow" w:hAnsi="Arial Narrow" w:cs="Arial"/>
                <w:sz w:val="18"/>
                <w:szCs w:val="18"/>
              </w:rPr>
              <w:t>Alimentari lavorati</w:t>
            </w:r>
            <w:r>
              <w:rPr>
                <w:rFonts w:ascii="Arial Narrow" w:hAnsi="Arial Narrow" w:cs="Arial"/>
                <w:sz w:val="18"/>
                <w:szCs w:val="18"/>
              </w:rPr>
              <w:t xml:space="preserve"> (incluse bevande alcoliche) e tabacchi</w:t>
            </w:r>
          </w:p>
        </w:tc>
        <w:tc>
          <w:tcPr>
            <w:tcW w:w="987" w:type="dxa"/>
            <w:shd w:val="clear" w:color="auto" w:fill="E0E0E0"/>
            <w:vAlign w:val="center"/>
          </w:tcPr>
          <w:p w:rsidR="00773599" w:rsidRPr="000924D4" w:rsidRDefault="00773599" w:rsidP="00793858">
            <w:pPr>
              <w:spacing w:before="40" w:after="20"/>
              <w:ind w:right="170"/>
              <w:contextualSpacing/>
              <w:jc w:val="right"/>
              <w:rPr>
                <w:rFonts w:ascii="Arial Narrow" w:hAnsi="Arial Narrow" w:cs="Arial"/>
                <w:sz w:val="18"/>
                <w:szCs w:val="18"/>
              </w:rPr>
            </w:pPr>
            <w:r w:rsidRPr="000924D4">
              <w:rPr>
                <w:rFonts w:ascii="Arial Narrow" w:hAnsi="Arial Narrow" w:cs="Arial"/>
                <w:sz w:val="18"/>
                <w:szCs w:val="18"/>
              </w:rPr>
              <w:t>11</w:t>
            </w:r>
            <w:r>
              <w:rPr>
                <w:rFonts w:ascii="Arial Narrow" w:hAnsi="Arial Narrow" w:cs="Arial"/>
                <w:sz w:val="18"/>
                <w:szCs w:val="18"/>
              </w:rPr>
              <w:t>8</w:t>
            </w:r>
            <w:r w:rsidRPr="000924D4">
              <w:rPr>
                <w:rFonts w:ascii="Arial Narrow" w:hAnsi="Arial Narrow" w:cs="Arial"/>
                <w:sz w:val="18"/>
                <w:szCs w:val="18"/>
              </w:rPr>
              <w:t>.</w:t>
            </w:r>
            <w:r>
              <w:rPr>
                <w:rFonts w:ascii="Arial Narrow" w:hAnsi="Arial Narrow" w:cs="Arial"/>
                <w:sz w:val="18"/>
                <w:szCs w:val="18"/>
              </w:rPr>
              <w:t>753</w:t>
            </w:r>
            <w:r w:rsidRPr="000924D4">
              <w:rPr>
                <w:rFonts w:ascii="Arial Narrow" w:hAnsi="Arial Narrow" w:cs="Arial"/>
                <w:sz w:val="18"/>
                <w:szCs w:val="18"/>
              </w:rPr>
              <w:t xml:space="preserve">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0,0</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0,4</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0,4</w:t>
            </w:r>
          </w:p>
        </w:tc>
      </w:tr>
      <w:tr w:rsidR="00773599" w:rsidRPr="00EA0885" w:rsidTr="00773599">
        <w:trPr>
          <w:trHeight w:val="255"/>
        </w:trPr>
        <w:tc>
          <w:tcPr>
            <w:tcW w:w="3767" w:type="dxa"/>
            <w:vAlign w:val="center"/>
          </w:tcPr>
          <w:p w:rsidR="00773599" w:rsidRPr="00EA0885" w:rsidRDefault="00773599" w:rsidP="00874BDC">
            <w:pPr>
              <w:spacing w:before="40" w:after="20"/>
              <w:ind w:firstLine="214"/>
              <w:rPr>
                <w:rFonts w:ascii="Arial Narrow" w:hAnsi="Arial Narrow" w:cs="Arial"/>
                <w:sz w:val="18"/>
                <w:szCs w:val="18"/>
              </w:rPr>
            </w:pPr>
            <w:r w:rsidRPr="00EA0885">
              <w:rPr>
                <w:rFonts w:ascii="Arial Narrow" w:hAnsi="Arial Narrow" w:cs="Arial"/>
                <w:sz w:val="18"/>
                <w:szCs w:val="18"/>
              </w:rPr>
              <w:t>Alimentari non lavorati</w:t>
            </w:r>
          </w:p>
        </w:tc>
        <w:tc>
          <w:tcPr>
            <w:tcW w:w="987" w:type="dxa"/>
            <w:shd w:val="clear" w:color="auto" w:fill="E0E0E0"/>
            <w:vAlign w:val="center"/>
          </w:tcPr>
          <w:p w:rsidR="00773599" w:rsidRPr="000924D4" w:rsidRDefault="00773599" w:rsidP="008507EA">
            <w:pPr>
              <w:spacing w:before="40" w:after="20"/>
              <w:ind w:right="170"/>
              <w:contextualSpacing/>
              <w:jc w:val="right"/>
              <w:rPr>
                <w:rFonts w:ascii="Arial Narrow" w:hAnsi="Arial Narrow" w:cs="Arial"/>
                <w:sz w:val="18"/>
                <w:szCs w:val="18"/>
              </w:rPr>
            </w:pPr>
            <w:r w:rsidRPr="000924D4">
              <w:rPr>
                <w:rFonts w:ascii="Arial Narrow" w:hAnsi="Arial Narrow" w:cs="Arial"/>
                <w:sz w:val="18"/>
                <w:szCs w:val="18"/>
              </w:rPr>
              <w:t>9</w:t>
            </w:r>
            <w:r>
              <w:rPr>
                <w:rFonts w:ascii="Arial Narrow" w:hAnsi="Arial Narrow" w:cs="Arial"/>
                <w:sz w:val="18"/>
                <w:szCs w:val="18"/>
              </w:rPr>
              <w:t>2</w:t>
            </w:r>
            <w:r w:rsidRPr="000924D4">
              <w:rPr>
                <w:rFonts w:ascii="Arial Narrow" w:hAnsi="Arial Narrow" w:cs="Arial"/>
                <w:sz w:val="18"/>
                <w:szCs w:val="18"/>
              </w:rPr>
              <w:t>.</w:t>
            </w:r>
            <w:r>
              <w:rPr>
                <w:rFonts w:ascii="Arial Narrow" w:hAnsi="Arial Narrow" w:cs="Arial"/>
                <w:sz w:val="18"/>
                <w:szCs w:val="18"/>
              </w:rPr>
              <w:t>170</w:t>
            </w:r>
            <w:r w:rsidRPr="000924D4">
              <w:rPr>
                <w:rFonts w:ascii="Arial Narrow" w:hAnsi="Arial Narrow" w:cs="Arial"/>
                <w:sz w:val="18"/>
                <w:szCs w:val="18"/>
              </w:rPr>
              <w:t xml:space="preserve">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0,3</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0,4</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0,7</w:t>
            </w:r>
          </w:p>
        </w:tc>
      </w:tr>
      <w:tr w:rsidR="00773599" w:rsidRPr="00EA0885" w:rsidTr="00773599">
        <w:trPr>
          <w:trHeight w:val="255"/>
        </w:trPr>
        <w:tc>
          <w:tcPr>
            <w:tcW w:w="3767" w:type="dxa"/>
            <w:vAlign w:val="center"/>
          </w:tcPr>
          <w:p w:rsidR="00773599" w:rsidRPr="00EA0885" w:rsidRDefault="00773599" w:rsidP="00275BF2">
            <w:pPr>
              <w:spacing w:before="40" w:after="20"/>
              <w:ind w:left="-68"/>
              <w:rPr>
                <w:rFonts w:ascii="Arial Narrow" w:hAnsi="Arial Narrow" w:cs="Arial"/>
                <w:sz w:val="18"/>
                <w:szCs w:val="18"/>
              </w:rPr>
            </w:pPr>
            <w:r>
              <w:rPr>
                <w:rFonts w:ascii="Arial Narrow" w:hAnsi="Arial Narrow" w:cs="Arial"/>
                <w:sz w:val="18"/>
                <w:szCs w:val="18"/>
              </w:rPr>
              <w:t>Energia</w:t>
            </w:r>
          </w:p>
        </w:tc>
        <w:tc>
          <w:tcPr>
            <w:tcW w:w="987" w:type="dxa"/>
            <w:shd w:val="clear" w:color="auto" w:fill="E0E0E0"/>
            <w:vAlign w:val="center"/>
          </w:tcPr>
          <w:p w:rsidR="00773599" w:rsidRPr="000924D4" w:rsidRDefault="00773599" w:rsidP="000924D4">
            <w:pPr>
              <w:spacing w:before="40" w:after="20"/>
              <w:ind w:right="170"/>
              <w:contextualSpacing/>
              <w:jc w:val="right"/>
              <w:rPr>
                <w:rFonts w:ascii="Arial Narrow" w:hAnsi="Arial Narrow" w:cs="Arial"/>
                <w:sz w:val="18"/>
                <w:szCs w:val="18"/>
              </w:rPr>
            </w:pPr>
            <w:r w:rsidRPr="00793858">
              <w:rPr>
                <w:rFonts w:ascii="Arial Narrow" w:hAnsi="Arial Narrow" w:cs="Arial"/>
                <w:sz w:val="18"/>
                <w:szCs w:val="18"/>
              </w:rPr>
              <w:t>95</w:t>
            </w:r>
            <w:r>
              <w:rPr>
                <w:rFonts w:ascii="Arial Narrow" w:hAnsi="Arial Narrow" w:cs="Arial"/>
                <w:sz w:val="18"/>
                <w:szCs w:val="18"/>
              </w:rPr>
              <w:t>.</w:t>
            </w:r>
            <w:r w:rsidRPr="00793858">
              <w:rPr>
                <w:rFonts w:ascii="Arial Narrow" w:hAnsi="Arial Narrow" w:cs="Arial"/>
                <w:sz w:val="18"/>
                <w:szCs w:val="18"/>
              </w:rPr>
              <w:t>516</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1,0</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-7,5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-8,4</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0,0</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-5,9</w:t>
            </w:r>
          </w:p>
        </w:tc>
      </w:tr>
      <w:tr w:rsidR="00773599" w:rsidRPr="00EA0885" w:rsidTr="00773599">
        <w:trPr>
          <w:trHeight w:val="255"/>
        </w:trPr>
        <w:tc>
          <w:tcPr>
            <w:tcW w:w="3767" w:type="dxa"/>
            <w:tcBorders>
              <w:bottom w:val="single" w:sz="4" w:space="0" w:color="808080"/>
            </w:tcBorders>
            <w:vAlign w:val="center"/>
          </w:tcPr>
          <w:p w:rsidR="00773599" w:rsidRPr="00EA0885" w:rsidRDefault="00773599" w:rsidP="00275BF2">
            <w:pPr>
              <w:spacing w:before="40" w:after="20"/>
              <w:ind w:left="-68"/>
              <w:rPr>
                <w:rFonts w:ascii="Arial Narrow" w:hAnsi="Arial Narrow" w:cs="Arial"/>
                <w:sz w:val="18"/>
                <w:szCs w:val="18"/>
              </w:rPr>
            </w:pPr>
            <w:r>
              <w:rPr>
                <w:rFonts w:ascii="Arial Narrow" w:hAnsi="Arial Narrow" w:cs="Arial"/>
                <w:sz w:val="18"/>
                <w:szCs w:val="18"/>
              </w:rPr>
              <w:t>Beni industriali non energetici</w:t>
            </w:r>
          </w:p>
        </w:tc>
        <w:tc>
          <w:tcPr>
            <w:tcW w:w="987" w:type="dxa"/>
            <w:tcBorders>
              <w:bottom w:val="single" w:sz="4" w:space="0" w:color="808080"/>
            </w:tcBorders>
            <w:shd w:val="clear" w:color="auto" w:fill="E0E0E0"/>
            <w:vAlign w:val="center"/>
          </w:tcPr>
          <w:p w:rsidR="00773599" w:rsidRPr="008212D4" w:rsidRDefault="00773599" w:rsidP="0063016E">
            <w:pPr>
              <w:spacing w:before="40" w:after="20"/>
              <w:ind w:right="170"/>
              <w:contextualSpacing/>
              <w:jc w:val="right"/>
              <w:rPr>
                <w:rFonts w:ascii="Arial Narrow" w:hAnsi="Arial Narrow" w:cs="Arial"/>
                <w:sz w:val="18"/>
                <w:szCs w:val="18"/>
                <w:highlight w:val="yellow"/>
              </w:rPr>
            </w:pPr>
            <w:r w:rsidRPr="0063016E">
              <w:rPr>
                <w:rFonts w:ascii="Arial Narrow" w:hAnsi="Arial Narrow" w:cs="Arial"/>
                <w:sz w:val="18"/>
                <w:szCs w:val="18"/>
              </w:rPr>
              <w:t xml:space="preserve">258.295 </w:t>
            </w:r>
          </w:p>
        </w:tc>
        <w:tc>
          <w:tcPr>
            <w:tcW w:w="807" w:type="dxa"/>
            <w:tcBorders>
              <w:bottom w:val="single" w:sz="4" w:space="0" w:color="808080"/>
            </w:tcBorders>
            <w:vAlign w:val="center"/>
          </w:tcPr>
          <w:p w:rsidR="00773599" w:rsidRPr="00875F2D" w:rsidRDefault="00773599" w:rsidP="00031CBF">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w:t>
            </w:r>
            <w:r w:rsidR="00031CBF">
              <w:rPr>
                <w:rFonts w:ascii="Arial Narrow" w:hAnsi="Arial Narrow" w:cs="Arial"/>
                <w:sz w:val="18"/>
                <w:szCs w:val="18"/>
              </w:rPr>
              <w:t>2</w:t>
            </w:r>
          </w:p>
        </w:tc>
        <w:tc>
          <w:tcPr>
            <w:tcW w:w="807" w:type="dxa"/>
            <w:tcBorders>
              <w:bottom w:val="single" w:sz="4" w:space="0" w:color="808080"/>
            </w:tcBorders>
            <w:vAlign w:val="center"/>
          </w:tcPr>
          <w:p w:rsidR="00773599" w:rsidRPr="00875F2D" w:rsidRDefault="00031CBF" w:rsidP="00773599">
            <w:pPr>
              <w:spacing w:before="40" w:after="20"/>
              <w:ind w:right="284"/>
              <w:contextualSpacing/>
              <w:jc w:val="right"/>
              <w:rPr>
                <w:rFonts w:ascii="Arial Narrow" w:hAnsi="Arial Narrow" w:cs="Arial"/>
                <w:sz w:val="18"/>
                <w:szCs w:val="18"/>
              </w:rPr>
            </w:pPr>
            <w:r>
              <w:rPr>
                <w:rFonts w:ascii="Arial Narrow" w:hAnsi="Arial Narrow" w:cs="Arial"/>
                <w:sz w:val="18"/>
                <w:szCs w:val="18"/>
              </w:rPr>
              <w:t>0,4</w:t>
            </w:r>
          </w:p>
        </w:tc>
        <w:tc>
          <w:tcPr>
            <w:tcW w:w="807" w:type="dxa"/>
            <w:tcBorders>
              <w:bottom w:val="single" w:sz="4" w:space="0" w:color="808080"/>
            </w:tcBorders>
            <w:vAlign w:val="center"/>
          </w:tcPr>
          <w:p w:rsidR="00773599" w:rsidRPr="00875F2D" w:rsidRDefault="00773599" w:rsidP="00F35C14">
            <w:pPr>
              <w:spacing w:before="40" w:after="20"/>
              <w:ind w:right="284"/>
              <w:jc w:val="right"/>
              <w:rPr>
                <w:rFonts w:ascii="Arial Narrow" w:hAnsi="Arial Narrow" w:cs="Arial"/>
                <w:sz w:val="18"/>
                <w:szCs w:val="18"/>
              </w:rPr>
            </w:pPr>
            <w:r w:rsidRPr="00875F2D">
              <w:rPr>
                <w:rFonts w:ascii="Arial Narrow" w:hAnsi="Arial Narrow" w:cs="Arial"/>
                <w:sz w:val="18"/>
                <w:szCs w:val="18"/>
              </w:rPr>
              <w:t>0,7</w:t>
            </w:r>
          </w:p>
        </w:tc>
        <w:tc>
          <w:tcPr>
            <w:tcW w:w="807" w:type="dxa"/>
            <w:tcBorders>
              <w:bottom w:val="single" w:sz="4" w:space="0" w:color="808080"/>
            </w:tcBorders>
            <w:vAlign w:val="center"/>
          </w:tcPr>
          <w:p w:rsidR="00773599" w:rsidRPr="00875F2D" w:rsidRDefault="00773599" w:rsidP="00BA09F9">
            <w:pPr>
              <w:spacing w:before="40" w:after="20"/>
              <w:ind w:right="284"/>
              <w:jc w:val="right"/>
              <w:rPr>
                <w:rFonts w:ascii="Arial Narrow" w:hAnsi="Arial Narrow" w:cs="Arial"/>
                <w:sz w:val="18"/>
                <w:szCs w:val="18"/>
              </w:rPr>
            </w:pPr>
            <w:r w:rsidRPr="00875F2D">
              <w:rPr>
                <w:rFonts w:ascii="Arial Narrow" w:hAnsi="Arial Narrow" w:cs="Arial"/>
                <w:sz w:val="18"/>
                <w:szCs w:val="18"/>
              </w:rPr>
              <w:t>0,0</w:t>
            </w:r>
          </w:p>
        </w:tc>
        <w:tc>
          <w:tcPr>
            <w:tcW w:w="807" w:type="dxa"/>
            <w:tcBorders>
              <w:bottom w:val="single" w:sz="4" w:space="0" w:color="808080"/>
            </w:tcBorders>
            <w:shd w:val="clear" w:color="auto" w:fill="E0E0E0"/>
            <w:tcMar>
              <w:left w:w="85" w:type="dxa"/>
              <w:right w:w="28" w:type="dxa"/>
            </w:tcMar>
            <w:vAlign w:val="center"/>
          </w:tcPr>
          <w:p w:rsidR="00773599" w:rsidRPr="00875F2D" w:rsidRDefault="00773599" w:rsidP="00CF2E0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2,0</w:t>
            </w:r>
          </w:p>
        </w:tc>
      </w:tr>
      <w:tr w:rsidR="00773599" w:rsidRPr="00EA0885" w:rsidTr="00773599">
        <w:trPr>
          <w:trHeight w:val="255"/>
        </w:trPr>
        <w:tc>
          <w:tcPr>
            <w:tcW w:w="3767" w:type="dxa"/>
            <w:tcBorders>
              <w:bottom w:val="single" w:sz="4" w:space="0" w:color="808080"/>
            </w:tcBorders>
            <w:vAlign w:val="center"/>
          </w:tcPr>
          <w:p w:rsidR="00773599" w:rsidRPr="00275BF2" w:rsidRDefault="00773599" w:rsidP="00275BF2">
            <w:pPr>
              <w:spacing w:before="40" w:after="20"/>
              <w:ind w:left="-68"/>
              <w:rPr>
                <w:rFonts w:ascii="Arial Narrow" w:hAnsi="Arial Narrow" w:cs="Arial"/>
                <w:sz w:val="18"/>
                <w:szCs w:val="18"/>
              </w:rPr>
            </w:pPr>
            <w:r w:rsidRPr="00275BF2">
              <w:rPr>
                <w:rFonts w:ascii="Arial Narrow" w:hAnsi="Arial Narrow" w:cs="Arial"/>
                <w:sz w:val="18"/>
                <w:szCs w:val="18"/>
              </w:rPr>
              <w:t>Servizi</w:t>
            </w:r>
          </w:p>
        </w:tc>
        <w:tc>
          <w:tcPr>
            <w:tcW w:w="987" w:type="dxa"/>
            <w:tcBorders>
              <w:bottom w:val="single" w:sz="4" w:space="0" w:color="808080"/>
            </w:tcBorders>
            <w:shd w:val="clear" w:color="auto" w:fill="E0E0E0"/>
            <w:vAlign w:val="center"/>
          </w:tcPr>
          <w:p w:rsidR="00773599" w:rsidRPr="008212D4" w:rsidRDefault="00773599" w:rsidP="008212D4">
            <w:pPr>
              <w:spacing w:before="40" w:after="20"/>
              <w:ind w:left="-68" w:right="170"/>
              <w:contextualSpacing/>
              <w:jc w:val="right"/>
              <w:rPr>
                <w:rFonts w:ascii="Arial Narrow" w:hAnsi="Arial Narrow" w:cs="Arial"/>
                <w:sz w:val="18"/>
                <w:szCs w:val="18"/>
                <w:highlight w:val="yellow"/>
              </w:rPr>
            </w:pPr>
            <w:r w:rsidRPr="008212D4">
              <w:rPr>
                <w:rFonts w:ascii="Arial Narrow" w:hAnsi="Arial Narrow" w:cs="Arial"/>
                <w:sz w:val="18"/>
                <w:szCs w:val="18"/>
              </w:rPr>
              <w:t xml:space="preserve">435.266 </w:t>
            </w:r>
          </w:p>
        </w:tc>
        <w:tc>
          <w:tcPr>
            <w:tcW w:w="807" w:type="dxa"/>
            <w:tcBorders>
              <w:bottom w:val="single" w:sz="4" w:space="0" w:color="808080"/>
            </w:tcBorders>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0,2</w:t>
            </w:r>
          </w:p>
        </w:tc>
        <w:tc>
          <w:tcPr>
            <w:tcW w:w="807" w:type="dxa"/>
            <w:tcBorders>
              <w:bottom w:val="single" w:sz="4" w:space="0" w:color="808080"/>
            </w:tcBorders>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tcBorders>
              <w:bottom w:val="single" w:sz="4" w:space="0" w:color="808080"/>
            </w:tcBorders>
            <w:vAlign w:val="center"/>
          </w:tcPr>
          <w:p w:rsidR="00773599" w:rsidRPr="00875F2D" w:rsidRDefault="00773599" w:rsidP="00F35C14">
            <w:pPr>
              <w:spacing w:before="40" w:after="20"/>
              <w:ind w:right="284"/>
              <w:jc w:val="right"/>
              <w:rPr>
                <w:rFonts w:ascii="Arial Narrow" w:hAnsi="Arial Narrow" w:cs="Arial"/>
                <w:sz w:val="18"/>
                <w:szCs w:val="18"/>
              </w:rPr>
            </w:pPr>
            <w:r w:rsidRPr="00875F2D">
              <w:rPr>
                <w:rFonts w:ascii="Arial Narrow" w:hAnsi="Arial Narrow" w:cs="Arial"/>
                <w:sz w:val="18"/>
                <w:szCs w:val="18"/>
              </w:rPr>
              <w:t>0,5</w:t>
            </w:r>
          </w:p>
        </w:tc>
        <w:tc>
          <w:tcPr>
            <w:tcW w:w="807" w:type="dxa"/>
            <w:tcBorders>
              <w:bottom w:val="single" w:sz="4" w:space="0" w:color="808080"/>
            </w:tcBorders>
            <w:vAlign w:val="center"/>
          </w:tcPr>
          <w:p w:rsidR="00773599" w:rsidRPr="00875F2D" w:rsidRDefault="00773599" w:rsidP="00BA09F9">
            <w:pPr>
              <w:spacing w:before="40" w:after="20"/>
              <w:ind w:right="284"/>
              <w:jc w:val="right"/>
              <w:rPr>
                <w:rFonts w:ascii="Arial Narrow" w:hAnsi="Arial Narrow" w:cs="Arial"/>
                <w:sz w:val="18"/>
                <w:szCs w:val="18"/>
              </w:rPr>
            </w:pPr>
            <w:r w:rsidRPr="00875F2D">
              <w:rPr>
                <w:rFonts w:ascii="Arial Narrow" w:hAnsi="Arial Narrow" w:cs="Arial"/>
                <w:sz w:val="18"/>
                <w:szCs w:val="18"/>
              </w:rPr>
              <w:t>0,2</w:t>
            </w:r>
          </w:p>
        </w:tc>
        <w:tc>
          <w:tcPr>
            <w:tcW w:w="807" w:type="dxa"/>
            <w:tcBorders>
              <w:bottom w:val="single" w:sz="4" w:space="0" w:color="808080"/>
            </w:tcBorders>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0,4</w:t>
            </w:r>
          </w:p>
        </w:tc>
      </w:tr>
      <w:tr w:rsidR="00773599" w:rsidRPr="00EA0885" w:rsidTr="00773599">
        <w:trPr>
          <w:trHeight w:val="284"/>
        </w:trPr>
        <w:tc>
          <w:tcPr>
            <w:tcW w:w="3767" w:type="dxa"/>
            <w:shd w:val="clear" w:color="auto" w:fill="FF0000"/>
            <w:vAlign w:val="center"/>
          </w:tcPr>
          <w:p w:rsidR="00773599" w:rsidRPr="00EA0885" w:rsidRDefault="00773599" w:rsidP="00874BDC">
            <w:pPr>
              <w:spacing w:before="40" w:after="20"/>
              <w:rPr>
                <w:rFonts w:ascii="Arial Narrow" w:hAnsi="Arial Narrow" w:cs="Arial"/>
                <w:b/>
                <w:bCs/>
                <w:color w:val="FFFFFF"/>
                <w:sz w:val="18"/>
                <w:szCs w:val="18"/>
              </w:rPr>
            </w:pPr>
            <w:r w:rsidRPr="00EA0885">
              <w:rPr>
                <w:rFonts w:ascii="Arial Narrow" w:hAnsi="Arial Narrow" w:cs="Arial"/>
                <w:b/>
                <w:bCs/>
                <w:color w:val="FFFFFF"/>
                <w:sz w:val="18"/>
                <w:szCs w:val="18"/>
              </w:rPr>
              <w:t>Indice generale</w:t>
            </w:r>
          </w:p>
        </w:tc>
        <w:tc>
          <w:tcPr>
            <w:tcW w:w="987" w:type="dxa"/>
            <w:shd w:val="clear" w:color="auto" w:fill="FF0000"/>
            <w:vAlign w:val="center"/>
          </w:tcPr>
          <w:p w:rsidR="00773599" w:rsidRPr="008212D4" w:rsidRDefault="00773599" w:rsidP="000924D4">
            <w:pPr>
              <w:spacing w:before="40" w:after="20"/>
              <w:ind w:right="170"/>
              <w:contextualSpacing/>
              <w:jc w:val="right"/>
              <w:rPr>
                <w:rFonts w:ascii="Arial Narrow" w:hAnsi="Arial Narrow" w:cs="Arial"/>
                <w:b/>
                <w:color w:val="FFFFFF" w:themeColor="background1"/>
                <w:sz w:val="18"/>
                <w:szCs w:val="18"/>
                <w:highlight w:val="yellow"/>
              </w:rPr>
            </w:pPr>
            <w:r w:rsidRPr="008212D4">
              <w:rPr>
                <w:rFonts w:ascii="Arial Narrow" w:hAnsi="Arial Narrow" w:cs="Arial"/>
                <w:b/>
                <w:color w:val="FFFFFF" w:themeColor="background1"/>
                <w:sz w:val="18"/>
                <w:szCs w:val="18"/>
              </w:rPr>
              <w:t xml:space="preserve">1.000.000 </w:t>
            </w:r>
          </w:p>
        </w:tc>
        <w:tc>
          <w:tcPr>
            <w:tcW w:w="807" w:type="dxa"/>
            <w:shd w:val="clear" w:color="auto" w:fill="FF0000"/>
            <w:vAlign w:val="center"/>
          </w:tcPr>
          <w:p w:rsidR="00773599" w:rsidRPr="00875F2D" w:rsidRDefault="00773599" w:rsidP="00773599">
            <w:pPr>
              <w:spacing w:before="40" w:after="20"/>
              <w:ind w:right="284"/>
              <w:contextualSpacing/>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0,1</w:t>
            </w:r>
          </w:p>
        </w:tc>
        <w:tc>
          <w:tcPr>
            <w:tcW w:w="807" w:type="dxa"/>
            <w:shd w:val="clear" w:color="auto" w:fill="FF0000"/>
            <w:vAlign w:val="center"/>
          </w:tcPr>
          <w:p w:rsidR="00773599" w:rsidRPr="00875F2D" w:rsidRDefault="00773599" w:rsidP="00773599">
            <w:pPr>
              <w:spacing w:before="40" w:after="20"/>
              <w:ind w:right="284"/>
              <w:contextualSpacing/>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807" w:type="dxa"/>
            <w:shd w:val="clear" w:color="auto" w:fill="FF0000"/>
            <w:vAlign w:val="center"/>
          </w:tcPr>
          <w:p w:rsidR="00773599" w:rsidRPr="00875F2D" w:rsidRDefault="00773599" w:rsidP="00F35C14">
            <w:pPr>
              <w:spacing w:before="40" w:after="20"/>
              <w:ind w:right="284"/>
              <w:contextualSpacing/>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-0,3</w:t>
            </w:r>
          </w:p>
        </w:tc>
        <w:tc>
          <w:tcPr>
            <w:tcW w:w="807" w:type="dxa"/>
            <w:shd w:val="clear" w:color="auto" w:fill="FF0000"/>
            <w:vAlign w:val="center"/>
          </w:tcPr>
          <w:p w:rsidR="00773599" w:rsidRPr="00875F2D" w:rsidRDefault="00773599" w:rsidP="00BA09F9">
            <w:pPr>
              <w:spacing w:before="40" w:after="20"/>
              <w:ind w:right="284"/>
              <w:contextualSpacing/>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c>
          <w:tcPr>
            <w:tcW w:w="807" w:type="dxa"/>
            <w:shd w:val="clear" w:color="auto" w:fill="FF000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b/>
                <w:color w:val="FFFFFF" w:themeColor="background1"/>
                <w:sz w:val="18"/>
                <w:szCs w:val="18"/>
              </w:rPr>
            </w:pPr>
            <w:r w:rsidRPr="00875F2D">
              <w:rPr>
                <w:rFonts w:ascii="Arial Narrow" w:hAnsi="Arial Narrow" w:cs="Arial"/>
                <w:b/>
                <w:color w:val="FFFFFF" w:themeColor="background1"/>
                <w:sz w:val="18"/>
                <w:szCs w:val="18"/>
              </w:rPr>
              <w:t>0,2</w:t>
            </w:r>
          </w:p>
        </w:tc>
      </w:tr>
      <w:tr w:rsidR="00773599" w:rsidRPr="00EA0885" w:rsidTr="00773599">
        <w:trPr>
          <w:trHeight w:val="284"/>
        </w:trPr>
        <w:tc>
          <w:tcPr>
            <w:tcW w:w="3767" w:type="dxa"/>
            <w:vAlign w:val="center"/>
          </w:tcPr>
          <w:p w:rsidR="00773599" w:rsidRPr="00CF19DE" w:rsidRDefault="00773599" w:rsidP="00CF19DE">
            <w:pPr>
              <w:spacing w:before="40" w:after="20"/>
              <w:ind w:left="-68"/>
              <w:rPr>
                <w:rFonts w:ascii="Arial Narrow" w:hAnsi="Arial Narrow" w:cs="Arial"/>
                <w:sz w:val="18"/>
                <w:szCs w:val="18"/>
              </w:rPr>
            </w:pPr>
            <w:r w:rsidRPr="00CF19DE">
              <w:rPr>
                <w:rFonts w:ascii="Arial Narrow" w:hAnsi="Arial Narrow" w:cs="Arial"/>
                <w:sz w:val="18"/>
                <w:szCs w:val="18"/>
              </w:rPr>
              <w:t>Indice generale al netto dell’energia e degli alimentari freschi (Componente di fondo)</w:t>
            </w:r>
          </w:p>
        </w:tc>
        <w:tc>
          <w:tcPr>
            <w:tcW w:w="987" w:type="dxa"/>
            <w:shd w:val="clear" w:color="auto" w:fill="E0E0E0"/>
            <w:vAlign w:val="center"/>
          </w:tcPr>
          <w:p w:rsidR="00773599" w:rsidRPr="008212D4" w:rsidRDefault="00773599" w:rsidP="0063016E">
            <w:pPr>
              <w:spacing w:before="40" w:after="20"/>
              <w:ind w:right="170"/>
              <w:contextualSpacing/>
              <w:jc w:val="right"/>
              <w:rPr>
                <w:rFonts w:ascii="Arial Narrow" w:hAnsi="Arial Narrow" w:cs="Arial"/>
                <w:sz w:val="18"/>
                <w:szCs w:val="18"/>
                <w:highlight w:val="yellow"/>
              </w:rPr>
            </w:pPr>
            <w:r w:rsidRPr="0063016E">
              <w:rPr>
                <w:rFonts w:ascii="Arial Narrow" w:hAnsi="Arial Narrow" w:cs="Arial"/>
                <w:sz w:val="18"/>
                <w:szCs w:val="18"/>
              </w:rPr>
              <w:t xml:space="preserve">812.314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0,0</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0,6</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0,9</w:t>
            </w:r>
          </w:p>
        </w:tc>
      </w:tr>
      <w:tr w:rsidR="00773599" w:rsidRPr="00EA0885" w:rsidTr="00773599">
        <w:trPr>
          <w:trHeight w:val="284"/>
        </w:trPr>
        <w:tc>
          <w:tcPr>
            <w:tcW w:w="3767" w:type="dxa"/>
            <w:vAlign w:val="center"/>
          </w:tcPr>
          <w:p w:rsidR="00773599" w:rsidRPr="00EA0885" w:rsidRDefault="00773599" w:rsidP="00DE1D7F">
            <w:pPr>
              <w:spacing w:before="40" w:after="20"/>
              <w:ind w:left="-68"/>
              <w:rPr>
                <w:rFonts w:ascii="Arial Narrow" w:hAnsi="Arial Narrow" w:cs="Arial"/>
                <w:bCs/>
                <w:sz w:val="18"/>
                <w:szCs w:val="18"/>
              </w:rPr>
            </w:pPr>
            <w:r>
              <w:rPr>
                <w:rFonts w:ascii="Arial Narrow" w:hAnsi="Arial Narrow" w:cs="Arial"/>
                <w:bCs/>
                <w:sz w:val="18"/>
                <w:szCs w:val="18"/>
              </w:rPr>
              <w:t>Indice generale al netto dell’energia, degli alimentari (incluse bevande alcoliche) e tabacchi</w:t>
            </w:r>
          </w:p>
        </w:tc>
        <w:tc>
          <w:tcPr>
            <w:tcW w:w="987" w:type="dxa"/>
            <w:shd w:val="clear" w:color="auto" w:fill="E0E0E0"/>
            <w:vAlign w:val="center"/>
          </w:tcPr>
          <w:p w:rsidR="00773599" w:rsidRPr="008212D4" w:rsidRDefault="00773599" w:rsidP="0063016E">
            <w:pPr>
              <w:spacing w:before="40" w:after="20"/>
              <w:ind w:right="170"/>
              <w:contextualSpacing/>
              <w:jc w:val="right"/>
              <w:rPr>
                <w:rFonts w:ascii="Arial Narrow" w:hAnsi="Arial Narrow" w:cs="Arial"/>
                <w:sz w:val="18"/>
                <w:szCs w:val="18"/>
                <w:highlight w:val="yellow"/>
              </w:rPr>
            </w:pPr>
            <w:r w:rsidRPr="0063016E">
              <w:rPr>
                <w:rFonts w:ascii="Arial Narrow" w:hAnsi="Arial Narrow" w:cs="Arial"/>
                <w:sz w:val="18"/>
                <w:szCs w:val="18"/>
              </w:rPr>
              <w:t xml:space="preserve">693.561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0,6</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1,0</w:t>
            </w:r>
          </w:p>
        </w:tc>
      </w:tr>
      <w:tr w:rsidR="00773599" w:rsidRPr="00EA0885" w:rsidTr="00773599">
        <w:trPr>
          <w:trHeight w:val="284"/>
        </w:trPr>
        <w:tc>
          <w:tcPr>
            <w:tcW w:w="3767" w:type="dxa"/>
            <w:vAlign w:val="center"/>
          </w:tcPr>
          <w:p w:rsidR="00773599" w:rsidRPr="00EA0885" w:rsidRDefault="00773599" w:rsidP="00874BDC">
            <w:pPr>
              <w:spacing w:before="40" w:after="20"/>
              <w:ind w:left="-68"/>
              <w:rPr>
                <w:rFonts w:ascii="Arial Narrow" w:hAnsi="Arial Narrow" w:cs="Arial"/>
                <w:bCs/>
                <w:sz w:val="18"/>
                <w:szCs w:val="18"/>
              </w:rPr>
            </w:pPr>
            <w:r w:rsidRPr="00EA0885">
              <w:rPr>
                <w:rFonts w:ascii="Arial Narrow" w:hAnsi="Arial Narrow" w:cs="Arial"/>
                <w:bCs/>
                <w:sz w:val="18"/>
                <w:szCs w:val="18"/>
              </w:rPr>
              <w:t>Indice generale al netto d</w:t>
            </w:r>
            <w:r>
              <w:rPr>
                <w:rFonts w:ascii="Arial Narrow" w:hAnsi="Arial Narrow" w:cs="Arial"/>
                <w:bCs/>
                <w:sz w:val="18"/>
                <w:szCs w:val="18"/>
              </w:rPr>
              <w:t>ell’energia</w:t>
            </w:r>
          </w:p>
        </w:tc>
        <w:tc>
          <w:tcPr>
            <w:tcW w:w="987" w:type="dxa"/>
            <w:shd w:val="clear" w:color="auto" w:fill="E0E0E0"/>
            <w:vAlign w:val="center"/>
          </w:tcPr>
          <w:p w:rsidR="00773599" w:rsidRPr="008212D4" w:rsidRDefault="00773599" w:rsidP="0063016E">
            <w:pPr>
              <w:spacing w:before="40" w:after="20"/>
              <w:ind w:right="170"/>
              <w:contextualSpacing/>
              <w:jc w:val="right"/>
              <w:rPr>
                <w:rFonts w:ascii="Arial Narrow" w:hAnsi="Arial Narrow" w:cs="Arial"/>
                <w:sz w:val="18"/>
                <w:szCs w:val="18"/>
                <w:highlight w:val="yellow"/>
              </w:rPr>
            </w:pPr>
            <w:r w:rsidRPr="0063016E">
              <w:rPr>
                <w:rFonts w:ascii="Arial Narrow" w:hAnsi="Arial Narrow" w:cs="Arial"/>
                <w:sz w:val="18"/>
                <w:szCs w:val="18"/>
              </w:rPr>
              <w:t xml:space="preserve">904.484 </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0,1</w:t>
            </w:r>
          </w:p>
        </w:tc>
        <w:tc>
          <w:tcPr>
            <w:tcW w:w="807" w:type="dxa"/>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0,5</w:t>
            </w:r>
          </w:p>
        </w:tc>
        <w:tc>
          <w:tcPr>
            <w:tcW w:w="807" w:type="dxa"/>
            <w:vAlign w:val="center"/>
          </w:tcPr>
          <w:p w:rsidR="00773599" w:rsidRPr="00875F2D" w:rsidRDefault="00773599" w:rsidP="00F35C14">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0,6</w:t>
            </w:r>
          </w:p>
        </w:tc>
        <w:tc>
          <w:tcPr>
            <w:tcW w:w="807" w:type="dxa"/>
            <w:vAlign w:val="center"/>
          </w:tcPr>
          <w:p w:rsidR="00773599" w:rsidRPr="00875F2D" w:rsidRDefault="00773599" w:rsidP="00BA09F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0,2</w:t>
            </w:r>
          </w:p>
        </w:tc>
        <w:tc>
          <w:tcPr>
            <w:tcW w:w="807" w:type="dxa"/>
            <w:shd w:val="clear" w:color="auto" w:fill="E0E0E0"/>
            <w:tcMar>
              <w:left w:w="85" w:type="dxa"/>
              <w:right w:w="28" w:type="dxa"/>
            </w:tcMar>
            <w:vAlign w:val="center"/>
          </w:tcPr>
          <w:p w:rsidR="00773599" w:rsidRPr="00875F2D" w:rsidRDefault="00773599" w:rsidP="00773599">
            <w:pPr>
              <w:spacing w:before="40" w:after="20"/>
              <w:ind w:right="284"/>
              <w:contextualSpacing/>
              <w:jc w:val="right"/>
              <w:rPr>
                <w:rFonts w:ascii="Arial Narrow" w:hAnsi="Arial Narrow" w:cs="Arial"/>
                <w:sz w:val="18"/>
                <w:szCs w:val="18"/>
              </w:rPr>
            </w:pPr>
            <w:r w:rsidRPr="00875F2D">
              <w:rPr>
                <w:rFonts w:ascii="Arial Narrow" w:hAnsi="Arial Narrow" w:cs="Arial"/>
                <w:sz w:val="18"/>
                <w:szCs w:val="18"/>
              </w:rPr>
              <w:t>0,9</w:t>
            </w:r>
          </w:p>
        </w:tc>
      </w:tr>
    </w:tbl>
    <w:p w:rsidR="00CF4E7B" w:rsidRPr="005A1483" w:rsidRDefault="00CF4E7B" w:rsidP="00CF4E7B">
      <w:pPr>
        <w:pStyle w:val="Corpotesto"/>
        <w:spacing w:before="60" w:line="240" w:lineRule="auto"/>
        <w:ind w:left="1814"/>
        <w:jc w:val="both"/>
        <w:rPr>
          <w:rFonts w:ascii="Arial" w:hAnsi="Arial" w:cs="Arial"/>
          <w:sz w:val="15"/>
          <w:szCs w:val="15"/>
        </w:rPr>
      </w:pPr>
      <w:r w:rsidRPr="009A7BA5">
        <w:rPr>
          <w:rFonts w:ascii="Arial Narrow" w:hAnsi="Arial Narrow" w:cs="Arial"/>
          <w:sz w:val="15"/>
          <w:szCs w:val="15"/>
        </w:rPr>
        <w:t>a)</w:t>
      </w:r>
      <w:r w:rsidRPr="00D72F92">
        <w:rPr>
          <w:rFonts w:ascii="Arial Narrow" w:hAnsi="Arial Narrow" w:cs="Arial"/>
          <w:sz w:val="15"/>
          <w:szCs w:val="15"/>
        </w:rPr>
        <w:t xml:space="preserve"> le variazioni tendenziali e l’inflazione acquisita, con l’aggiornamento della base di riferimento degli indici </w:t>
      </w:r>
      <w:r>
        <w:rPr>
          <w:rFonts w:ascii="Arial Narrow" w:hAnsi="Arial Narrow" w:cs="Arial"/>
          <w:sz w:val="15"/>
          <w:szCs w:val="15"/>
        </w:rPr>
        <w:t>IPCA</w:t>
      </w:r>
      <w:r w:rsidRPr="00D72F92">
        <w:rPr>
          <w:rFonts w:ascii="Arial Narrow" w:hAnsi="Arial Narrow" w:cs="Arial"/>
          <w:sz w:val="15"/>
          <w:szCs w:val="15"/>
        </w:rPr>
        <w:t xml:space="preserve"> all’anno</w:t>
      </w:r>
      <w:r>
        <w:rPr>
          <w:rFonts w:ascii="Arial Narrow" w:hAnsi="Arial Narrow" w:cs="Arial"/>
          <w:sz w:val="15"/>
          <w:szCs w:val="15"/>
        </w:rPr>
        <w:t xml:space="preserve"> </w:t>
      </w:r>
      <w:r w:rsidRPr="00D72F92">
        <w:rPr>
          <w:rFonts w:ascii="Arial Narrow" w:hAnsi="Arial Narrow" w:cs="Arial"/>
          <w:sz w:val="15"/>
          <w:szCs w:val="15"/>
        </w:rPr>
        <w:t>201</w:t>
      </w:r>
      <w:r>
        <w:rPr>
          <w:rFonts w:ascii="Arial Narrow" w:hAnsi="Arial Narrow" w:cs="Arial"/>
          <w:sz w:val="15"/>
          <w:szCs w:val="15"/>
        </w:rPr>
        <w:t xml:space="preserve">5 </w:t>
      </w:r>
      <w:r w:rsidRPr="00D72F92">
        <w:rPr>
          <w:rFonts w:ascii="Arial Narrow" w:hAnsi="Arial Narrow" w:cs="Arial"/>
          <w:sz w:val="15"/>
          <w:szCs w:val="15"/>
        </w:rPr>
        <w:t xml:space="preserve">(base precedente </w:t>
      </w:r>
      <w:r>
        <w:rPr>
          <w:rFonts w:ascii="Arial Narrow" w:hAnsi="Arial Narrow" w:cs="Arial"/>
          <w:sz w:val="15"/>
          <w:szCs w:val="15"/>
        </w:rPr>
        <w:t>2005</w:t>
      </w:r>
      <w:r w:rsidRPr="00D72F92">
        <w:rPr>
          <w:rFonts w:ascii="Arial Narrow" w:hAnsi="Arial Narrow" w:cs="Arial"/>
          <w:sz w:val="15"/>
          <w:szCs w:val="15"/>
        </w:rPr>
        <w:t xml:space="preserve">=100), sono calcolate utilizzando </w:t>
      </w:r>
      <w:r>
        <w:rPr>
          <w:rFonts w:ascii="Arial Narrow" w:hAnsi="Arial Narrow" w:cs="Arial"/>
          <w:sz w:val="15"/>
          <w:szCs w:val="15"/>
        </w:rPr>
        <w:t>una serie storica slittata nella nuova base</w:t>
      </w:r>
      <w:r w:rsidRPr="00D72F92">
        <w:rPr>
          <w:rFonts w:ascii="Arial Narrow" w:hAnsi="Arial Narrow" w:cs="Arial"/>
          <w:sz w:val="15"/>
          <w:szCs w:val="15"/>
        </w:rPr>
        <w:t>.</w:t>
      </w:r>
    </w:p>
    <w:p w:rsidR="00A53C27" w:rsidRDefault="00A53C27">
      <w:pPr>
        <w:widowControl/>
        <w:overflowPunct/>
        <w:autoSpaceDE/>
        <w:autoSpaceDN/>
        <w:adjustRightInd/>
        <w:spacing w:before="0" w:after="0"/>
        <w:rPr>
          <w:rFonts w:ascii="Arial Narrow" w:hAnsi="Arial Narrow" w:cs="Arial"/>
          <w:b/>
          <w:color w:val="5F5F5F"/>
        </w:rPr>
      </w:pPr>
    </w:p>
    <w:p w:rsidR="00CF4E7B" w:rsidRDefault="00CF4E7B">
      <w:pPr>
        <w:widowControl/>
        <w:overflowPunct/>
        <w:autoSpaceDE/>
        <w:autoSpaceDN/>
        <w:adjustRightInd/>
        <w:spacing w:before="0" w:after="0"/>
        <w:rPr>
          <w:rFonts w:ascii="Arial Narrow" w:hAnsi="Arial Narrow" w:cs="Arial"/>
          <w:b/>
          <w:color w:val="5F5F5F"/>
        </w:rPr>
      </w:pPr>
    </w:p>
    <w:p w:rsidR="00CF4E7B" w:rsidRDefault="00CF4E7B">
      <w:pPr>
        <w:widowControl/>
        <w:overflowPunct/>
        <w:autoSpaceDE/>
        <w:autoSpaceDN/>
        <w:adjustRightInd/>
        <w:spacing w:before="0" w:after="0"/>
        <w:rPr>
          <w:rFonts w:ascii="Arial Narrow" w:hAnsi="Arial Narrow" w:cs="Arial"/>
          <w:b/>
          <w:color w:val="5F5F5F"/>
        </w:rPr>
      </w:pPr>
    </w:p>
    <w:p w:rsidR="009F34D3" w:rsidRDefault="009F34D3">
      <w:pPr>
        <w:widowControl/>
        <w:overflowPunct/>
        <w:autoSpaceDE/>
        <w:autoSpaceDN/>
        <w:adjustRightInd/>
        <w:spacing w:before="0" w:after="0"/>
        <w:rPr>
          <w:rFonts w:ascii="Arial Narrow" w:hAnsi="Arial Narrow" w:cs="Arial"/>
          <w:b/>
          <w:color w:val="5F5F5F"/>
        </w:rPr>
      </w:pPr>
    </w:p>
    <w:p w:rsidR="00CF4E7B" w:rsidRDefault="00CF4E7B">
      <w:pPr>
        <w:widowControl/>
        <w:overflowPunct/>
        <w:autoSpaceDE/>
        <w:autoSpaceDN/>
        <w:adjustRightInd/>
        <w:spacing w:before="0" w:after="0"/>
        <w:rPr>
          <w:rFonts w:ascii="Arial Narrow" w:hAnsi="Arial Narrow" w:cs="Arial"/>
          <w:b/>
          <w:color w:val="5F5F5F"/>
        </w:rPr>
      </w:pPr>
    </w:p>
    <w:p w:rsidR="00CF4E7B" w:rsidRDefault="00CF4E7B">
      <w:pPr>
        <w:widowControl/>
        <w:overflowPunct/>
        <w:autoSpaceDE/>
        <w:autoSpaceDN/>
        <w:adjustRightInd/>
        <w:spacing w:before="0" w:after="0"/>
        <w:rPr>
          <w:rFonts w:ascii="Arial Narrow" w:hAnsi="Arial Narrow" w:cs="Arial"/>
          <w:b/>
          <w:color w:val="5F5F5F"/>
        </w:rPr>
      </w:pPr>
    </w:p>
    <w:p w:rsidR="00CF4E7B" w:rsidRDefault="00CF4E7B">
      <w:pPr>
        <w:widowControl/>
        <w:overflowPunct/>
        <w:autoSpaceDE/>
        <w:autoSpaceDN/>
        <w:adjustRightInd/>
        <w:spacing w:before="0" w:after="0"/>
        <w:rPr>
          <w:rFonts w:ascii="Arial Narrow" w:hAnsi="Arial Narrow" w:cs="Arial"/>
          <w:b/>
          <w:color w:val="5F5F5F"/>
        </w:rPr>
      </w:pPr>
    </w:p>
    <w:p w:rsidR="009044FD" w:rsidRDefault="009044FD">
      <w:pPr>
        <w:widowControl/>
        <w:overflowPunct/>
        <w:autoSpaceDE/>
        <w:autoSpaceDN/>
        <w:adjustRightInd/>
        <w:spacing w:before="0" w:after="0"/>
        <w:rPr>
          <w:rFonts w:ascii="Arial Narrow" w:hAnsi="Arial Narrow" w:cs="Arial"/>
          <w:b/>
          <w:color w:val="5F5F5F"/>
        </w:rPr>
      </w:pPr>
      <w:r>
        <w:rPr>
          <w:rFonts w:ascii="Arial Narrow" w:hAnsi="Arial Narrow" w:cs="Arial"/>
          <w:b/>
          <w:color w:val="5F5F5F"/>
        </w:rPr>
        <w:br w:type="page"/>
      </w:r>
    </w:p>
    <w:p w:rsidR="005E4909" w:rsidRDefault="005E4909">
      <w:pPr>
        <w:widowControl/>
        <w:overflowPunct/>
        <w:autoSpaceDE/>
        <w:autoSpaceDN/>
        <w:adjustRightInd/>
        <w:spacing w:before="0" w:after="0"/>
        <w:rPr>
          <w:rFonts w:ascii="Arial Narrow" w:hAnsi="Arial Narrow" w:cs="Arial"/>
          <w:b/>
          <w:color w:val="5F5F5F"/>
        </w:rPr>
      </w:pPr>
    </w:p>
    <w:p w:rsidR="00847305" w:rsidRDefault="00847305" w:rsidP="00384A3E">
      <w:pPr>
        <w:spacing w:after="60"/>
        <w:ind w:left="1814"/>
        <w:rPr>
          <w:rFonts w:ascii="Arial Narrow" w:hAnsi="Arial Narrow" w:cs="Arial"/>
          <w:b/>
          <w:color w:val="5F5F5F"/>
        </w:rPr>
      </w:pPr>
    </w:p>
    <w:p w:rsidR="00384A3E" w:rsidRDefault="00384A3E" w:rsidP="00384A3E">
      <w:pPr>
        <w:spacing w:after="60"/>
        <w:ind w:left="1814"/>
        <w:rPr>
          <w:rFonts w:ascii="Arial Narrow" w:hAnsi="Arial Narrow" w:cs="Arial"/>
          <w:sz w:val="19"/>
          <w:szCs w:val="19"/>
        </w:rPr>
      </w:pPr>
      <w:r w:rsidRPr="00A26801">
        <w:rPr>
          <w:rFonts w:ascii="Arial Narrow" w:hAnsi="Arial Narrow" w:cs="Arial"/>
          <w:b/>
          <w:color w:val="5F5F5F"/>
        </w:rPr>
        <w:t>PROSPETTO 6. INDICI DEI PREZZI AL CONSUMO</w:t>
      </w:r>
      <w:r w:rsidRPr="008154D4">
        <w:rPr>
          <w:rFonts w:ascii="Arial Narrow" w:hAnsi="Arial Narrow" w:cs="Arial"/>
          <w:b/>
        </w:rPr>
        <w:br/>
      </w:r>
      <w:r w:rsidR="007C6923">
        <w:rPr>
          <w:rFonts w:ascii="Arial Narrow" w:hAnsi="Arial Narrow" w:cs="Arial"/>
          <w:sz w:val="19"/>
          <w:szCs w:val="19"/>
        </w:rPr>
        <w:t>Giugno</w:t>
      </w:r>
      <w:r w:rsidR="00523E8D">
        <w:rPr>
          <w:rFonts w:ascii="Arial Narrow" w:hAnsi="Arial Narrow" w:cs="Arial"/>
          <w:sz w:val="19"/>
          <w:szCs w:val="19"/>
        </w:rPr>
        <w:t xml:space="preserve"> 201</w:t>
      </w:r>
      <w:r w:rsidR="00BE61DF">
        <w:rPr>
          <w:rFonts w:ascii="Arial Narrow" w:hAnsi="Arial Narrow" w:cs="Arial"/>
          <w:sz w:val="19"/>
          <w:szCs w:val="19"/>
        </w:rPr>
        <w:t>5</w:t>
      </w:r>
      <w:r w:rsidR="00DA5FC3" w:rsidRPr="00DA5FC3">
        <w:rPr>
          <w:rFonts w:ascii="Arial Narrow" w:hAnsi="Arial Narrow" w:cs="Arial"/>
          <w:sz w:val="19"/>
          <w:szCs w:val="19"/>
        </w:rPr>
        <w:t>-</w:t>
      </w:r>
      <w:r w:rsidR="007C6923">
        <w:rPr>
          <w:rFonts w:ascii="Arial Narrow" w:hAnsi="Arial Narrow" w:cs="Arial"/>
          <w:sz w:val="19"/>
          <w:szCs w:val="19"/>
        </w:rPr>
        <w:t>giugno</w:t>
      </w:r>
      <w:r w:rsidR="00DA5FC3" w:rsidRPr="00DA5FC3">
        <w:rPr>
          <w:rFonts w:ascii="Arial Narrow" w:hAnsi="Arial Narrow" w:cs="Arial"/>
          <w:sz w:val="19"/>
          <w:szCs w:val="19"/>
        </w:rPr>
        <w:t xml:space="preserve"> 201</w:t>
      </w:r>
      <w:r w:rsidR="00BE61DF">
        <w:rPr>
          <w:rFonts w:ascii="Arial Narrow" w:hAnsi="Arial Narrow" w:cs="Arial"/>
          <w:sz w:val="19"/>
          <w:szCs w:val="19"/>
        </w:rPr>
        <w:t>6</w:t>
      </w:r>
      <w:r w:rsidRPr="008154D4">
        <w:rPr>
          <w:rFonts w:ascii="Arial Narrow" w:hAnsi="Arial Narrow" w:cs="Arial"/>
          <w:sz w:val="19"/>
          <w:szCs w:val="19"/>
        </w:rPr>
        <w:t xml:space="preserve">, indici e variazioni percentuali </w:t>
      </w:r>
      <w:r w:rsidR="0008235E">
        <w:rPr>
          <w:rFonts w:ascii="Arial Narrow" w:hAnsi="Arial Narrow" w:cs="Arial"/>
          <w:sz w:val="19"/>
          <w:szCs w:val="19"/>
        </w:rPr>
        <w:t>(a)</w:t>
      </w:r>
    </w:p>
    <w:tbl>
      <w:tblPr>
        <w:tblW w:w="8789" w:type="dxa"/>
        <w:tblInd w:w="1913" w:type="dxa"/>
        <w:tblCellMar>
          <w:left w:w="70" w:type="dxa"/>
          <w:right w:w="70" w:type="dxa"/>
        </w:tblCellMar>
        <w:tblLook w:val="0000" w:firstRow="0" w:lastRow="0" w:firstColumn="0" w:lastColumn="0" w:noHBand="0" w:noVBand="0"/>
      </w:tblPr>
      <w:tblGrid>
        <w:gridCol w:w="1701"/>
        <w:gridCol w:w="1134"/>
        <w:gridCol w:w="978"/>
        <w:gridCol w:w="1432"/>
        <w:gridCol w:w="1134"/>
        <w:gridCol w:w="1134"/>
        <w:gridCol w:w="1276"/>
      </w:tblGrid>
      <w:tr w:rsidR="00384A3E" w:rsidRPr="008154D4" w:rsidTr="009E2B81">
        <w:trPr>
          <w:trHeight w:val="300"/>
        </w:trPr>
        <w:tc>
          <w:tcPr>
            <w:tcW w:w="1701" w:type="dxa"/>
            <w:vMerge w:val="restart"/>
            <w:tcBorders>
              <w:top w:val="single" w:sz="4" w:space="0" w:color="auto"/>
              <w:left w:val="nil"/>
              <w:bottom w:val="single" w:sz="4" w:space="0" w:color="auto"/>
              <w:right w:val="nil"/>
            </w:tcBorders>
            <w:vAlign w:val="center"/>
          </w:tcPr>
          <w:p w:rsidR="00384A3E" w:rsidRPr="008154D4" w:rsidRDefault="00384A3E" w:rsidP="00E224EF">
            <w:pPr>
              <w:spacing w:before="40" w:after="20"/>
              <w:ind w:left="-123" w:firstLine="123"/>
              <w:rPr>
                <w:rFonts w:ascii="Arial Narrow" w:hAnsi="Arial Narrow" w:cs="Arial"/>
                <w:b/>
                <w:bCs/>
                <w:sz w:val="18"/>
                <w:szCs w:val="18"/>
              </w:rPr>
            </w:pPr>
            <w:r w:rsidRPr="008154D4">
              <w:rPr>
                <w:rFonts w:ascii="Arial Narrow" w:hAnsi="Arial Narrow" w:cs="Arial"/>
                <w:b/>
                <w:bCs/>
                <w:sz w:val="18"/>
                <w:szCs w:val="18"/>
              </w:rPr>
              <w:t>Periodo</w:t>
            </w:r>
          </w:p>
        </w:tc>
        <w:tc>
          <w:tcPr>
            <w:tcW w:w="3544" w:type="dxa"/>
            <w:gridSpan w:val="3"/>
            <w:tcBorders>
              <w:top w:val="single" w:sz="4" w:space="0" w:color="auto"/>
              <w:left w:val="nil"/>
              <w:bottom w:val="single" w:sz="4" w:space="0" w:color="auto"/>
              <w:right w:val="nil"/>
            </w:tcBorders>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 xml:space="preserve">NIC </w:t>
            </w:r>
          </w:p>
        </w:tc>
        <w:tc>
          <w:tcPr>
            <w:tcW w:w="3544" w:type="dxa"/>
            <w:gridSpan w:val="3"/>
            <w:tcBorders>
              <w:top w:val="single" w:sz="4" w:space="0" w:color="auto"/>
              <w:left w:val="nil"/>
              <w:bottom w:val="single" w:sz="4" w:space="0" w:color="auto"/>
              <w:right w:val="nil"/>
            </w:tcBorders>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IPCA</w:t>
            </w:r>
          </w:p>
        </w:tc>
      </w:tr>
      <w:tr w:rsidR="00384A3E" w:rsidRPr="008154D4" w:rsidTr="009E2B81">
        <w:trPr>
          <w:trHeight w:val="285"/>
        </w:trPr>
        <w:tc>
          <w:tcPr>
            <w:tcW w:w="1701" w:type="dxa"/>
            <w:vMerge/>
            <w:tcBorders>
              <w:top w:val="single" w:sz="4" w:space="0" w:color="auto"/>
              <w:left w:val="nil"/>
              <w:bottom w:val="single" w:sz="4" w:space="0" w:color="auto"/>
              <w:right w:val="nil"/>
            </w:tcBorders>
            <w:vAlign w:val="center"/>
          </w:tcPr>
          <w:p w:rsidR="00384A3E" w:rsidRPr="008154D4" w:rsidRDefault="00384A3E" w:rsidP="00E224EF">
            <w:pPr>
              <w:spacing w:before="40" w:after="20"/>
              <w:rPr>
                <w:rFonts w:ascii="Arial Narrow" w:hAnsi="Arial Narrow" w:cs="Arial"/>
                <w:b/>
                <w:bCs/>
                <w:sz w:val="18"/>
                <w:szCs w:val="18"/>
              </w:rPr>
            </w:pPr>
          </w:p>
        </w:tc>
        <w:tc>
          <w:tcPr>
            <w:tcW w:w="1134" w:type="dxa"/>
            <w:vMerge w:val="restart"/>
            <w:tcBorders>
              <w:top w:val="single" w:sz="4" w:space="0" w:color="auto"/>
              <w:left w:val="nil"/>
              <w:bottom w:val="single" w:sz="4" w:space="0" w:color="auto"/>
              <w:right w:val="nil"/>
            </w:tcBorders>
            <w:shd w:val="clear" w:color="auto" w:fill="E6E6E6"/>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Indici</w:t>
            </w:r>
          </w:p>
        </w:tc>
        <w:tc>
          <w:tcPr>
            <w:tcW w:w="2410" w:type="dxa"/>
            <w:gridSpan w:val="2"/>
            <w:tcBorders>
              <w:top w:val="single" w:sz="4" w:space="0" w:color="auto"/>
              <w:left w:val="nil"/>
              <w:bottom w:val="single" w:sz="4" w:space="0" w:color="auto"/>
              <w:right w:val="nil"/>
            </w:tcBorders>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Variazioni %</w:t>
            </w:r>
          </w:p>
        </w:tc>
        <w:tc>
          <w:tcPr>
            <w:tcW w:w="1134" w:type="dxa"/>
            <w:vMerge w:val="restart"/>
            <w:tcBorders>
              <w:top w:val="single" w:sz="4" w:space="0" w:color="auto"/>
              <w:left w:val="nil"/>
              <w:bottom w:val="single" w:sz="4" w:space="0" w:color="auto"/>
              <w:right w:val="nil"/>
            </w:tcBorders>
            <w:shd w:val="clear" w:color="auto" w:fill="E6E6E6"/>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Indici</w:t>
            </w:r>
          </w:p>
        </w:tc>
        <w:tc>
          <w:tcPr>
            <w:tcW w:w="2410" w:type="dxa"/>
            <w:gridSpan w:val="2"/>
            <w:tcBorders>
              <w:top w:val="single" w:sz="4" w:space="0" w:color="auto"/>
              <w:left w:val="nil"/>
              <w:bottom w:val="single" w:sz="4" w:space="0" w:color="auto"/>
              <w:right w:val="nil"/>
            </w:tcBorders>
            <w:vAlign w:val="center"/>
          </w:tcPr>
          <w:p w:rsidR="00384A3E" w:rsidRPr="008154D4" w:rsidRDefault="00384A3E" w:rsidP="00E224EF">
            <w:pPr>
              <w:spacing w:before="40" w:after="20"/>
              <w:jc w:val="center"/>
              <w:rPr>
                <w:rFonts w:ascii="Arial Narrow" w:hAnsi="Arial Narrow" w:cs="Arial"/>
                <w:b/>
                <w:bCs/>
                <w:sz w:val="18"/>
                <w:szCs w:val="18"/>
              </w:rPr>
            </w:pPr>
            <w:r w:rsidRPr="008154D4">
              <w:rPr>
                <w:rFonts w:ascii="Arial Narrow" w:hAnsi="Arial Narrow" w:cs="Arial"/>
                <w:b/>
                <w:bCs/>
                <w:sz w:val="18"/>
                <w:szCs w:val="18"/>
              </w:rPr>
              <w:t>Variazioni %</w:t>
            </w:r>
          </w:p>
        </w:tc>
      </w:tr>
      <w:tr w:rsidR="00384A3E" w:rsidRPr="008154D4" w:rsidTr="009E2B81">
        <w:trPr>
          <w:trHeight w:val="603"/>
        </w:trPr>
        <w:tc>
          <w:tcPr>
            <w:tcW w:w="1701" w:type="dxa"/>
            <w:vMerge/>
            <w:tcBorders>
              <w:top w:val="single" w:sz="4" w:space="0" w:color="auto"/>
              <w:left w:val="nil"/>
              <w:bottom w:val="single" w:sz="4" w:space="0" w:color="auto"/>
              <w:right w:val="nil"/>
            </w:tcBorders>
            <w:vAlign w:val="center"/>
          </w:tcPr>
          <w:p w:rsidR="00384A3E" w:rsidRPr="008154D4" w:rsidRDefault="00384A3E" w:rsidP="00E224EF">
            <w:pPr>
              <w:spacing w:before="40" w:after="20"/>
              <w:rPr>
                <w:rFonts w:ascii="Arial Narrow" w:hAnsi="Arial Narrow" w:cs="Arial"/>
                <w:b/>
                <w:bCs/>
                <w:sz w:val="18"/>
                <w:szCs w:val="18"/>
              </w:rPr>
            </w:pPr>
          </w:p>
        </w:tc>
        <w:tc>
          <w:tcPr>
            <w:tcW w:w="1134" w:type="dxa"/>
            <w:vMerge/>
            <w:tcBorders>
              <w:top w:val="single" w:sz="4" w:space="0" w:color="auto"/>
              <w:left w:val="nil"/>
              <w:bottom w:val="single" w:sz="4" w:space="0" w:color="auto"/>
              <w:right w:val="nil"/>
            </w:tcBorders>
            <w:shd w:val="clear" w:color="auto" w:fill="E6E6E6"/>
            <w:vAlign w:val="center"/>
          </w:tcPr>
          <w:p w:rsidR="00384A3E" w:rsidRPr="008154D4" w:rsidRDefault="00384A3E" w:rsidP="00E224EF">
            <w:pPr>
              <w:spacing w:before="40" w:after="20"/>
              <w:rPr>
                <w:rFonts w:ascii="Arial Narrow" w:hAnsi="Arial Narrow" w:cs="Arial"/>
                <w:b/>
                <w:bCs/>
                <w:sz w:val="18"/>
                <w:szCs w:val="18"/>
              </w:rPr>
            </w:pPr>
          </w:p>
        </w:tc>
        <w:tc>
          <w:tcPr>
            <w:tcW w:w="978" w:type="dxa"/>
            <w:tcBorders>
              <w:top w:val="single" w:sz="4" w:space="0" w:color="auto"/>
              <w:left w:val="nil"/>
              <w:bottom w:val="single" w:sz="4" w:space="0" w:color="auto"/>
              <w:right w:val="nil"/>
            </w:tcBorders>
            <w:vAlign w:val="center"/>
          </w:tcPr>
          <w:p w:rsidR="00384A3E" w:rsidRPr="008154D4" w:rsidRDefault="00384A3E" w:rsidP="00E224EF">
            <w:pPr>
              <w:spacing w:before="40" w:after="20" w:line="180" w:lineRule="exact"/>
              <w:jc w:val="center"/>
              <w:rPr>
                <w:rFonts w:ascii="Arial Narrow" w:hAnsi="Arial Narrow" w:cs="Arial"/>
                <w:sz w:val="18"/>
                <w:szCs w:val="18"/>
              </w:rPr>
            </w:pPr>
            <w:r w:rsidRPr="008154D4">
              <w:rPr>
                <w:rFonts w:ascii="Arial Narrow" w:hAnsi="Arial Narrow" w:cs="Arial"/>
                <w:sz w:val="18"/>
                <w:szCs w:val="18"/>
              </w:rPr>
              <w:t>Rispetto al mese precedente</w:t>
            </w:r>
          </w:p>
        </w:tc>
        <w:tc>
          <w:tcPr>
            <w:tcW w:w="1432" w:type="dxa"/>
            <w:tcBorders>
              <w:top w:val="single" w:sz="4" w:space="0" w:color="auto"/>
              <w:left w:val="nil"/>
              <w:bottom w:val="single" w:sz="4" w:space="0" w:color="auto"/>
              <w:right w:val="nil"/>
            </w:tcBorders>
            <w:vAlign w:val="center"/>
          </w:tcPr>
          <w:p w:rsidR="00384A3E" w:rsidRPr="008154D4" w:rsidRDefault="00384A3E" w:rsidP="00E224EF">
            <w:pPr>
              <w:spacing w:before="40" w:after="20" w:line="180" w:lineRule="exact"/>
              <w:jc w:val="center"/>
              <w:rPr>
                <w:rFonts w:ascii="Arial Narrow" w:hAnsi="Arial Narrow" w:cs="Arial"/>
                <w:sz w:val="18"/>
                <w:szCs w:val="18"/>
              </w:rPr>
            </w:pPr>
            <w:r w:rsidRPr="008154D4">
              <w:rPr>
                <w:rFonts w:ascii="Arial Narrow" w:hAnsi="Arial Narrow" w:cs="Arial"/>
                <w:sz w:val="18"/>
                <w:szCs w:val="18"/>
              </w:rPr>
              <w:t>Rispetto allo stesso mese dell’anno precedente</w:t>
            </w:r>
          </w:p>
        </w:tc>
        <w:tc>
          <w:tcPr>
            <w:tcW w:w="1134" w:type="dxa"/>
            <w:vMerge/>
            <w:tcBorders>
              <w:top w:val="single" w:sz="4" w:space="0" w:color="auto"/>
              <w:left w:val="nil"/>
              <w:bottom w:val="single" w:sz="4" w:space="0" w:color="auto"/>
              <w:right w:val="nil"/>
            </w:tcBorders>
            <w:shd w:val="clear" w:color="auto" w:fill="E6E6E6"/>
            <w:vAlign w:val="center"/>
          </w:tcPr>
          <w:p w:rsidR="00384A3E" w:rsidRPr="008154D4" w:rsidRDefault="00384A3E" w:rsidP="00E224EF">
            <w:pPr>
              <w:spacing w:before="40" w:after="20"/>
              <w:rPr>
                <w:rFonts w:ascii="Arial Narrow" w:hAnsi="Arial Narrow" w:cs="Arial"/>
                <w:b/>
                <w:bCs/>
                <w:sz w:val="18"/>
                <w:szCs w:val="18"/>
              </w:rPr>
            </w:pPr>
          </w:p>
        </w:tc>
        <w:tc>
          <w:tcPr>
            <w:tcW w:w="1134" w:type="dxa"/>
            <w:tcBorders>
              <w:top w:val="single" w:sz="4" w:space="0" w:color="auto"/>
              <w:left w:val="nil"/>
              <w:bottom w:val="single" w:sz="4" w:space="0" w:color="auto"/>
              <w:right w:val="nil"/>
            </w:tcBorders>
            <w:vAlign w:val="center"/>
          </w:tcPr>
          <w:p w:rsidR="00384A3E" w:rsidRPr="008154D4" w:rsidRDefault="00384A3E" w:rsidP="00E224EF">
            <w:pPr>
              <w:spacing w:before="40" w:after="20" w:line="180" w:lineRule="exact"/>
              <w:jc w:val="center"/>
              <w:rPr>
                <w:rFonts w:ascii="Arial Narrow" w:hAnsi="Arial Narrow" w:cs="Arial"/>
                <w:sz w:val="18"/>
                <w:szCs w:val="18"/>
              </w:rPr>
            </w:pPr>
            <w:r w:rsidRPr="008154D4">
              <w:rPr>
                <w:rFonts w:ascii="Arial Narrow" w:hAnsi="Arial Narrow" w:cs="Arial"/>
                <w:sz w:val="18"/>
                <w:szCs w:val="18"/>
              </w:rPr>
              <w:t>Rispetto al mese precedente</w:t>
            </w:r>
          </w:p>
        </w:tc>
        <w:tc>
          <w:tcPr>
            <w:tcW w:w="1276" w:type="dxa"/>
            <w:tcBorders>
              <w:top w:val="single" w:sz="4" w:space="0" w:color="auto"/>
              <w:left w:val="nil"/>
              <w:bottom w:val="single" w:sz="4" w:space="0" w:color="auto"/>
              <w:right w:val="nil"/>
            </w:tcBorders>
            <w:vAlign w:val="center"/>
          </w:tcPr>
          <w:p w:rsidR="00384A3E" w:rsidRPr="008154D4" w:rsidRDefault="00384A3E" w:rsidP="00E224EF">
            <w:pPr>
              <w:spacing w:before="40" w:after="20" w:line="180" w:lineRule="exact"/>
              <w:jc w:val="center"/>
              <w:rPr>
                <w:rFonts w:ascii="Arial Narrow" w:hAnsi="Arial Narrow" w:cs="Arial"/>
                <w:sz w:val="18"/>
                <w:szCs w:val="18"/>
              </w:rPr>
            </w:pPr>
            <w:r w:rsidRPr="008154D4">
              <w:rPr>
                <w:rFonts w:ascii="Arial Narrow" w:hAnsi="Arial Narrow" w:cs="Arial"/>
                <w:sz w:val="18"/>
                <w:szCs w:val="18"/>
              </w:rPr>
              <w:t>Rispetto allo stesso mese dell’anno precedente</w:t>
            </w:r>
          </w:p>
        </w:tc>
      </w:tr>
      <w:tr w:rsidR="00194C0A" w:rsidRPr="008154D4" w:rsidTr="009E2B81">
        <w:trPr>
          <w:trHeight w:val="284"/>
        </w:trPr>
        <w:tc>
          <w:tcPr>
            <w:tcW w:w="1701" w:type="dxa"/>
            <w:tcBorders>
              <w:top w:val="single" w:sz="4" w:space="0" w:color="auto"/>
              <w:left w:val="nil"/>
              <w:bottom w:val="single" w:sz="4" w:space="0" w:color="auto"/>
              <w:right w:val="nil"/>
            </w:tcBorders>
            <w:shd w:val="clear" w:color="auto" w:fill="FF0000"/>
            <w:vAlign w:val="center"/>
          </w:tcPr>
          <w:p w:rsidR="00194C0A" w:rsidRPr="00ED610F" w:rsidRDefault="00194C0A" w:rsidP="00E224EF">
            <w:pPr>
              <w:spacing w:before="40" w:after="20"/>
              <w:rPr>
                <w:rFonts w:ascii="Arial Narrow" w:hAnsi="Arial Narrow" w:cs="Arial"/>
                <w:b/>
                <w:color w:val="FFFFFF"/>
                <w:sz w:val="18"/>
                <w:szCs w:val="18"/>
              </w:rPr>
            </w:pPr>
            <w:r w:rsidRPr="00ED610F">
              <w:rPr>
                <w:rFonts w:ascii="Arial Narrow" w:hAnsi="Arial Narrow" w:cs="Arial"/>
                <w:b/>
                <w:bCs/>
                <w:color w:val="FFFFFF"/>
                <w:sz w:val="18"/>
                <w:szCs w:val="18"/>
              </w:rPr>
              <w:t>201</w:t>
            </w:r>
            <w:r>
              <w:rPr>
                <w:rFonts w:ascii="Arial Narrow" w:hAnsi="Arial Narrow" w:cs="Arial"/>
                <w:b/>
                <w:bCs/>
                <w:color w:val="FFFFFF"/>
                <w:sz w:val="18"/>
                <w:szCs w:val="18"/>
              </w:rPr>
              <w:t>5</w:t>
            </w:r>
          </w:p>
        </w:tc>
        <w:tc>
          <w:tcPr>
            <w:tcW w:w="3544" w:type="dxa"/>
            <w:gridSpan w:val="3"/>
            <w:tcBorders>
              <w:top w:val="single" w:sz="4" w:space="0" w:color="auto"/>
              <w:left w:val="nil"/>
              <w:bottom w:val="single" w:sz="4" w:space="0" w:color="auto"/>
              <w:right w:val="nil"/>
            </w:tcBorders>
            <w:shd w:val="clear" w:color="auto" w:fill="FF0000"/>
            <w:vAlign w:val="center"/>
          </w:tcPr>
          <w:p w:rsidR="00194C0A" w:rsidRPr="00AA34B2" w:rsidRDefault="00194C0A" w:rsidP="00194C0A">
            <w:pPr>
              <w:spacing w:before="40" w:after="20"/>
              <w:jc w:val="center"/>
              <w:rPr>
                <w:rFonts w:ascii="Arial Narrow" w:hAnsi="Arial Narrow" w:cs="Arial"/>
                <w:b/>
                <w:bCs/>
                <w:color w:val="FFFFFF"/>
                <w:sz w:val="18"/>
                <w:szCs w:val="18"/>
              </w:rPr>
            </w:pPr>
            <w:r w:rsidRPr="00AA34B2">
              <w:rPr>
                <w:rFonts w:ascii="Arial Narrow" w:hAnsi="Arial Narrow" w:cs="Arial"/>
                <w:b/>
                <w:bCs/>
                <w:color w:val="FFFFFF"/>
                <w:sz w:val="18"/>
                <w:szCs w:val="18"/>
              </w:rPr>
              <w:t xml:space="preserve">Base </w:t>
            </w:r>
            <w:r>
              <w:rPr>
                <w:rFonts w:ascii="Arial Narrow" w:hAnsi="Arial Narrow" w:cs="Arial"/>
                <w:b/>
                <w:bCs/>
                <w:color w:val="FFFFFF"/>
                <w:sz w:val="18"/>
                <w:szCs w:val="18"/>
              </w:rPr>
              <w:t>2010</w:t>
            </w:r>
            <w:r w:rsidRPr="00AA34B2">
              <w:rPr>
                <w:rFonts w:ascii="Arial Narrow" w:hAnsi="Arial Narrow" w:cs="Arial"/>
                <w:b/>
                <w:bCs/>
                <w:color w:val="FFFFFF"/>
                <w:sz w:val="18"/>
                <w:szCs w:val="18"/>
              </w:rPr>
              <w:t>=100</w:t>
            </w:r>
          </w:p>
        </w:tc>
        <w:tc>
          <w:tcPr>
            <w:tcW w:w="3544" w:type="dxa"/>
            <w:gridSpan w:val="3"/>
            <w:tcBorders>
              <w:top w:val="single" w:sz="4" w:space="0" w:color="auto"/>
              <w:left w:val="nil"/>
              <w:bottom w:val="single" w:sz="4" w:space="0" w:color="auto"/>
              <w:right w:val="nil"/>
            </w:tcBorders>
            <w:shd w:val="clear" w:color="auto" w:fill="FF0000"/>
            <w:vAlign w:val="center"/>
          </w:tcPr>
          <w:p w:rsidR="00194C0A" w:rsidRPr="00AA34B2" w:rsidRDefault="00194C0A" w:rsidP="00BB3258">
            <w:pPr>
              <w:spacing w:before="40" w:after="20"/>
              <w:jc w:val="center"/>
              <w:rPr>
                <w:rFonts w:ascii="Arial Narrow" w:hAnsi="Arial Narrow" w:cs="Arial"/>
                <w:b/>
                <w:bCs/>
                <w:color w:val="FFFFFF"/>
                <w:sz w:val="18"/>
                <w:szCs w:val="18"/>
              </w:rPr>
            </w:pPr>
            <w:r w:rsidRPr="00AA34B2">
              <w:rPr>
                <w:rFonts w:ascii="Arial Narrow" w:hAnsi="Arial Narrow" w:cs="Arial"/>
                <w:b/>
                <w:bCs/>
                <w:color w:val="FFFFFF"/>
                <w:sz w:val="18"/>
                <w:szCs w:val="18"/>
              </w:rPr>
              <w:t>Base 2005=100</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E224EF">
            <w:pPr>
              <w:spacing w:before="40" w:after="20"/>
              <w:rPr>
                <w:rFonts w:ascii="Arial Narrow" w:hAnsi="Arial Narrow" w:cs="Arial"/>
                <w:sz w:val="18"/>
                <w:szCs w:val="18"/>
              </w:rPr>
            </w:pPr>
            <w:r>
              <w:rPr>
                <w:rFonts w:ascii="Arial Narrow" w:hAnsi="Arial Narrow" w:cs="Arial"/>
                <w:sz w:val="18"/>
                <w:szCs w:val="18"/>
              </w:rPr>
              <w:t xml:space="preserve">Aprile </w:t>
            </w:r>
          </w:p>
        </w:tc>
        <w:tc>
          <w:tcPr>
            <w:tcW w:w="1134" w:type="dxa"/>
            <w:tcBorders>
              <w:top w:val="single" w:sz="4" w:space="0" w:color="auto"/>
              <w:left w:val="nil"/>
              <w:bottom w:val="single" w:sz="4" w:space="0" w:color="auto"/>
              <w:right w:val="nil"/>
            </w:tcBorders>
            <w:shd w:val="clear" w:color="auto" w:fill="E6E6E6"/>
            <w:vAlign w:val="center"/>
          </w:tcPr>
          <w:p w:rsidR="00194C0A" w:rsidRPr="00235332" w:rsidRDefault="00194C0A" w:rsidP="00E224EF">
            <w:pPr>
              <w:spacing w:before="40" w:after="20"/>
              <w:ind w:right="284"/>
              <w:jc w:val="right"/>
              <w:rPr>
                <w:rFonts w:ascii="Arial Narrow" w:hAnsi="Arial Narrow" w:cs="Arial"/>
                <w:sz w:val="18"/>
                <w:szCs w:val="18"/>
              </w:rPr>
            </w:pPr>
            <w:r w:rsidRPr="00235332">
              <w:rPr>
                <w:rFonts w:ascii="Arial Narrow" w:hAnsi="Arial Narrow" w:cs="Arial"/>
                <w:sz w:val="18"/>
                <w:szCs w:val="18"/>
              </w:rPr>
              <w:t>107,5</w:t>
            </w:r>
          </w:p>
        </w:tc>
        <w:tc>
          <w:tcPr>
            <w:tcW w:w="978" w:type="dxa"/>
            <w:tcBorders>
              <w:top w:val="single" w:sz="4" w:space="0" w:color="auto"/>
              <w:left w:val="nil"/>
              <w:bottom w:val="single" w:sz="4" w:space="0" w:color="auto"/>
              <w:right w:val="nil"/>
            </w:tcBorders>
            <w:vAlign w:val="center"/>
          </w:tcPr>
          <w:p w:rsidR="00194C0A" w:rsidRPr="00235332" w:rsidRDefault="00194C0A" w:rsidP="00E224EF">
            <w:pPr>
              <w:spacing w:before="40" w:after="20"/>
              <w:ind w:right="340"/>
              <w:jc w:val="right"/>
              <w:rPr>
                <w:rFonts w:ascii="Arial Narrow" w:hAnsi="Arial Narrow" w:cs="Arial"/>
                <w:sz w:val="18"/>
                <w:szCs w:val="18"/>
              </w:rPr>
            </w:pPr>
            <w:r w:rsidRPr="00235332">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194C0A" w:rsidRPr="00235332" w:rsidRDefault="00194C0A" w:rsidP="00B84F9B">
            <w:pPr>
              <w:spacing w:before="40" w:after="20"/>
              <w:ind w:right="454"/>
              <w:jc w:val="right"/>
              <w:rPr>
                <w:rFonts w:ascii="Arial Narrow" w:hAnsi="Arial Narrow" w:cs="Arial"/>
                <w:sz w:val="18"/>
                <w:szCs w:val="18"/>
              </w:rPr>
            </w:pPr>
            <w:r w:rsidRPr="00235332">
              <w:rPr>
                <w:rFonts w:ascii="Arial Narrow" w:hAnsi="Arial Narrow" w:cs="Arial"/>
                <w:sz w:val="18"/>
                <w:szCs w:val="18"/>
              </w:rPr>
              <w:t>-0,1</w:t>
            </w:r>
          </w:p>
        </w:tc>
        <w:tc>
          <w:tcPr>
            <w:tcW w:w="1134" w:type="dxa"/>
            <w:tcBorders>
              <w:top w:val="single" w:sz="4" w:space="0" w:color="auto"/>
              <w:left w:val="nil"/>
              <w:bottom w:val="single" w:sz="4" w:space="0" w:color="auto"/>
              <w:right w:val="nil"/>
            </w:tcBorders>
            <w:shd w:val="clear" w:color="auto" w:fill="E6E6E6"/>
            <w:vAlign w:val="center"/>
          </w:tcPr>
          <w:p w:rsidR="00194C0A" w:rsidRPr="006A08F5" w:rsidRDefault="00194C0A" w:rsidP="00E224EF">
            <w:pPr>
              <w:spacing w:before="40" w:after="20"/>
              <w:ind w:right="284"/>
              <w:jc w:val="right"/>
              <w:rPr>
                <w:rFonts w:ascii="Arial Narrow" w:hAnsi="Arial Narrow" w:cs="Arial"/>
                <w:sz w:val="18"/>
                <w:szCs w:val="18"/>
              </w:rPr>
            </w:pPr>
            <w:r w:rsidRPr="006A08F5">
              <w:rPr>
                <w:rFonts w:ascii="Arial Narrow" w:hAnsi="Arial Narrow" w:cs="Arial"/>
                <w:sz w:val="18"/>
                <w:szCs w:val="18"/>
              </w:rPr>
              <w:t>120,3</w:t>
            </w:r>
          </w:p>
        </w:tc>
        <w:tc>
          <w:tcPr>
            <w:tcW w:w="1134" w:type="dxa"/>
            <w:tcBorders>
              <w:top w:val="single" w:sz="4" w:space="0" w:color="auto"/>
              <w:left w:val="nil"/>
              <w:bottom w:val="single" w:sz="4" w:space="0" w:color="auto"/>
              <w:right w:val="nil"/>
            </w:tcBorders>
            <w:vAlign w:val="center"/>
          </w:tcPr>
          <w:p w:rsidR="00194C0A" w:rsidRPr="006A08F5" w:rsidRDefault="00194C0A" w:rsidP="00E224EF">
            <w:pPr>
              <w:spacing w:before="40" w:after="20"/>
              <w:ind w:right="340"/>
              <w:jc w:val="right"/>
              <w:rPr>
                <w:rFonts w:ascii="Arial Narrow" w:hAnsi="Arial Narrow" w:cs="Arial"/>
                <w:sz w:val="18"/>
                <w:szCs w:val="18"/>
              </w:rPr>
            </w:pPr>
            <w:r w:rsidRPr="006A08F5">
              <w:rPr>
                <w:rFonts w:ascii="Arial Narrow" w:hAnsi="Arial Narrow" w:cs="Arial"/>
                <w:sz w:val="18"/>
                <w:szCs w:val="18"/>
              </w:rPr>
              <w:t>0,4</w:t>
            </w:r>
          </w:p>
        </w:tc>
        <w:tc>
          <w:tcPr>
            <w:tcW w:w="1276" w:type="dxa"/>
            <w:tcBorders>
              <w:top w:val="single" w:sz="4" w:space="0" w:color="auto"/>
              <w:left w:val="nil"/>
              <w:bottom w:val="single" w:sz="4" w:space="0" w:color="auto"/>
              <w:right w:val="nil"/>
            </w:tcBorders>
            <w:vAlign w:val="center"/>
          </w:tcPr>
          <w:p w:rsidR="00194C0A" w:rsidRPr="006A08F5" w:rsidRDefault="00194C0A" w:rsidP="00E224EF">
            <w:pPr>
              <w:spacing w:before="40" w:after="20"/>
              <w:ind w:right="397"/>
              <w:jc w:val="right"/>
              <w:rPr>
                <w:rFonts w:ascii="Arial Narrow" w:hAnsi="Arial Narrow" w:cs="Arial"/>
                <w:sz w:val="18"/>
                <w:szCs w:val="18"/>
              </w:rPr>
            </w:pPr>
            <w:r>
              <w:rPr>
                <w:rFonts w:ascii="Arial Narrow" w:hAnsi="Arial Narrow" w:cs="Arial"/>
                <w:sz w:val="18"/>
                <w:szCs w:val="18"/>
              </w:rPr>
              <w:t xml:space="preserve"> </w:t>
            </w:r>
            <w:r w:rsidRPr="006A08F5">
              <w:rPr>
                <w:rFonts w:ascii="Arial Narrow" w:hAnsi="Arial Narrow" w:cs="Arial"/>
                <w:sz w:val="18"/>
                <w:szCs w:val="18"/>
              </w:rPr>
              <w:t>-0,1</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E224EF">
            <w:pPr>
              <w:spacing w:before="40" w:after="20"/>
              <w:rPr>
                <w:rFonts w:ascii="Arial Narrow" w:hAnsi="Arial Narrow" w:cs="Arial"/>
                <w:sz w:val="18"/>
                <w:szCs w:val="18"/>
              </w:rPr>
            </w:pPr>
            <w:r>
              <w:rPr>
                <w:rFonts w:ascii="Arial Narrow" w:hAnsi="Arial Narrow" w:cs="Arial"/>
                <w:sz w:val="18"/>
                <w:szCs w:val="18"/>
              </w:rPr>
              <w:t>Maggio</w:t>
            </w:r>
          </w:p>
        </w:tc>
        <w:tc>
          <w:tcPr>
            <w:tcW w:w="1134" w:type="dxa"/>
            <w:tcBorders>
              <w:top w:val="single" w:sz="4" w:space="0" w:color="auto"/>
              <w:left w:val="nil"/>
              <w:bottom w:val="single" w:sz="4" w:space="0" w:color="auto"/>
              <w:right w:val="nil"/>
            </w:tcBorders>
            <w:shd w:val="clear" w:color="auto" w:fill="E6E6E6"/>
            <w:vAlign w:val="center"/>
          </w:tcPr>
          <w:p w:rsidR="00194C0A" w:rsidRPr="00F442A7" w:rsidRDefault="00194C0A" w:rsidP="00E224EF">
            <w:pPr>
              <w:spacing w:before="40" w:after="20"/>
              <w:ind w:right="284"/>
              <w:jc w:val="right"/>
              <w:rPr>
                <w:rFonts w:ascii="Arial Narrow" w:hAnsi="Arial Narrow" w:cs="Arial"/>
                <w:sz w:val="18"/>
                <w:szCs w:val="18"/>
              </w:rPr>
            </w:pPr>
            <w:r w:rsidRPr="00F442A7">
              <w:rPr>
                <w:rFonts w:ascii="Arial Narrow" w:hAnsi="Arial Narrow" w:cs="Arial"/>
                <w:sz w:val="18"/>
                <w:szCs w:val="18"/>
              </w:rPr>
              <w:t>107,6</w:t>
            </w:r>
          </w:p>
        </w:tc>
        <w:tc>
          <w:tcPr>
            <w:tcW w:w="978" w:type="dxa"/>
            <w:tcBorders>
              <w:top w:val="single" w:sz="4" w:space="0" w:color="auto"/>
              <w:left w:val="nil"/>
              <w:bottom w:val="single" w:sz="4" w:space="0" w:color="auto"/>
              <w:right w:val="nil"/>
            </w:tcBorders>
            <w:vAlign w:val="center"/>
          </w:tcPr>
          <w:p w:rsidR="00194C0A" w:rsidRPr="00F442A7" w:rsidRDefault="00194C0A" w:rsidP="00E224EF">
            <w:pPr>
              <w:spacing w:before="40" w:after="20"/>
              <w:ind w:right="340"/>
              <w:jc w:val="right"/>
              <w:rPr>
                <w:rFonts w:ascii="Arial Narrow" w:hAnsi="Arial Narrow" w:cs="Arial"/>
                <w:sz w:val="18"/>
                <w:szCs w:val="18"/>
              </w:rPr>
            </w:pPr>
            <w:r w:rsidRPr="00F442A7">
              <w:rPr>
                <w:rFonts w:ascii="Arial Narrow" w:hAnsi="Arial Narrow" w:cs="Arial"/>
                <w:sz w:val="18"/>
                <w:szCs w:val="18"/>
              </w:rPr>
              <w:t>0,1</w:t>
            </w:r>
          </w:p>
        </w:tc>
        <w:tc>
          <w:tcPr>
            <w:tcW w:w="1432" w:type="dxa"/>
            <w:tcBorders>
              <w:top w:val="single" w:sz="4" w:space="0" w:color="auto"/>
              <w:left w:val="nil"/>
              <w:bottom w:val="single" w:sz="4" w:space="0" w:color="auto"/>
              <w:right w:val="nil"/>
            </w:tcBorders>
            <w:vAlign w:val="center"/>
          </w:tcPr>
          <w:p w:rsidR="00194C0A" w:rsidRPr="00F442A7" w:rsidRDefault="00194C0A" w:rsidP="00B84F9B">
            <w:pPr>
              <w:spacing w:before="40" w:after="20"/>
              <w:ind w:right="454"/>
              <w:jc w:val="right"/>
              <w:rPr>
                <w:rFonts w:ascii="Arial Narrow" w:hAnsi="Arial Narrow" w:cs="Arial"/>
                <w:sz w:val="18"/>
                <w:szCs w:val="18"/>
              </w:rPr>
            </w:pPr>
            <w:r w:rsidRPr="00F442A7">
              <w:rPr>
                <w:rFonts w:ascii="Arial Narrow" w:hAnsi="Arial Narrow" w:cs="Arial"/>
                <w:sz w:val="18"/>
                <w:szCs w:val="18"/>
              </w:rPr>
              <w:t>0,1</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E224EF">
            <w:pPr>
              <w:spacing w:before="40" w:after="20"/>
              <w:ind w:right="284"/>
              <w:jc w:val="right"/>
              <w:rPr>
                <w:rFonts w:ascii="Arial Narrow" w:hAnsi="Arial Narrow" w:cs="Arial"/>
                <w:sz w:val="18"/>
                <w:szCs w:val="18"/>
              </w:rPr>
            </w:pPr>
            <w:r>
              <w:rPr>
                <w:rFonts w:ascii="Arial Narrow" w:hAnsi="Arial Narrow" w:cs="Arial"/>
                <w:sz w:val="18"/>
                <w:szCs w:val="18"/>
              </w:rPr>
              <w:t>120,5</w:t>
            </w:r>
          </w:p>
        </w:tc>
        <w:tc>
          <w:tcPr>
            <w:tcW w:w="1134" w:type="dxa"/>
            <w:tcBorders>
              <w:top w:val="single" w:sz="4" w:space="0" w:color="auto"/>
              <w:left w:val="nil"/>
              <w:bottom w:val="single" w:sz="4" w:space="0" w:color="auto"/>
              <w:right w:val="nil"/>
            </w:tcBorders>
            <w:vAlign w:val="center"/>
          </w:tcPr>
          <w:p w:rsidR="00194C0A" w:rsidRDefault="00194C0A" w:rsidP="00E224EF">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276" w:type="dxa"/>
            <w:tcBorders>
              <w:top w:val="single" w:sz="4" w:space="0" w:color="auto"/>
              <w:left w:val="nil"/>
              <w:bottom w:val="single" w:sz="4" w:space="0" w:color="auto"/>
              <w:right w:val="nil"/>
            </w:tcBorders>
            <w:vAlign w:val="center"/>
          </w:tcPr>
          <w:p w:rsidR="00194C0A" w:rsidRDefault="00194C0A" w:rsidP="00E224EF">
            <w:pPr>
              <w:spacing w:before="40" w:after="20"/>
              <w:ind w:right="397"/>
              <w:jc w:val="right"/>
              <w:rPr>
                <w:rFonts w:ascii="Arial Narrow" w:hAnsi="Arial Narrow" w:cs="Arial"/>
                <w:sz w:val="18"/>
                <w:szCs w:val="18"/>
              </w:rPr>
            </w:pPr>
            <w:r>
              <w:rPr>
                <w:rFonts w:ascii="Arial Narrow" w:hAnsi="Arial Narrow" w:cs="Arial"/>
                <w:sz w:val="18"/>
                <w:szCs w:val="18"/>
              </w:rPr>
              <w:t>0,2</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0116E6">
            <w:pPr>
              <w:spacing w:before="40" w:after="20"/>
              <w:rPr>
                <w:rFonts w:ascii="Arial Narrow" w:hAnsi="Arial Narrow" w:cs="Arial"/>
                <w:sz w:val="18"/>
                <w:szCs w:val="18"/>
              </w:rPr>
            </w:pPr>
            <w:r>
              <w:rPr>
                <w:rFonts w:ascii="Arial Narrow" w:hAnsi="Arial Narrow" w:cs="Arial"/>
                <w:sz w:val="18"/>
                <w:szCs w:val="18"/>
              </w:rPr>
              <w:t>Giugno</w:t>
            </w:r>
          </w:p>
        </w:tc>
        <w:tc>
          <w:tcPr>
            <w:tcW w:w="1134" w:type="dxa"/>
            <w:tcBorders>
              <w:top w:val="single" w:sz="4" w:space="0" w:color="auto"/>
              <w:left w:val="nil"/>
              <w:bottom w:val="single" w:sz="4" w:space="0" w:color="auto"/>
              <w:right w:val="nil"/>
            </w:tcBorders>
            <w:shd w:val="clear" w:color="auto" w:fill="E6E6E6"/>
            <w:vAlign w:val="center"/>
          </w:tcPr>
          <w:p w:rsidR="00194C0A" w:rsidRPr="00BF68B8" w:rsidRDefault="00194C0A" w:rsidP="00384A3E">
            <w:pPr>
              <w:spacing w:before="40" w:after="20"/>
              <w:ind w:right="284"/>
              <w:jc w:val="right"/>
              <w:rPr>
                <w:rFonts w:ascii="Arial Narrow" w:hAnsi="Arial Narrow" w:cs="Arial"/>
                <w:sz w:val="18"/>
                <w:szCs w:val="18"/>
              </w:rPr>
            </w:pPr>
            <w:r w:rsidRPr="00BF68B8">
              <w:rPr>
                <w:rFonts w:ascii="Arial Narrow" w:hAnsi="Arial Narrow" w:cs="Arial"/>
                <w:sz w:val="18"/>
                <w:szCs w:val="18"/>
              </w:rPr>
              <w:t>107,</w:t>
            </w:r>
            <w:r>
              <w:rPr>
                <w:rFonts w:ascii="Arial Narrow" w:hAnsi="Arial Narrow" w:cs="Arial"/>
                <w:sz w:val="18"/>
                <w:szCs w:val="18"/>
              </w:rPr>
              <w:t>8</w:t>
            </w:r>
          </w:p>
        </w:tc>
        <w:tc>
          <w:tcPr>
            <w:tcW w:w="978" w:type="dxa"/>
            <w:tcBorders>
              <w:top w:val="single" w:sz="4" w:space="0" w:color="auto"/>
              <w:left w:val="nil"/>
              <w:bottom w:val="single" w:sz="4" w:space="0" w:color="auto"/>
              <w:right w:val="nil"/>
            </w:tcBorders>
            <w:vAlign w:val="center"/>
          </w:tcPr>
          <w:p w:rsidR="00194C0A" w:rsidRPr="00BF68B8" w:rsidRDefault="00194C0A" w:rsidP="00384A3E">
            <w:pPr>
              <w:spacing w:before="40" w:after="20"/>
              <w:ind w:right="340"/>
              <w:jc w:val="right"/>
              <w:rPr>
                <w:rFonts w:ascii="Arial Narrow" w:hAnsi="Arial Narrow" w:cs="Arial"/>
                <w:sz w:val="18"/>
                <w:szCs w:val="18"/>
              </w:rPr>
            </w:pPr>
            <w:r w:rsidRPr="00BF68B8">
              <w:rPr>
                <w:rFonts w:ascii="Arial Narrow" w:hAnsi="Arial Narrow" w:cs="Arial"/>
                <w:sz w:val="18"/>
                <w:szCs w:val="18"/>
              </w:rPr>
              <w:t>0,</w:t>
            </w:r>
            <w:r>
              <w:rPr>
                <w:rFonts w:ascii="Arial Narrow" w:hAnsi="Arial Narrow" w:cs="Arial"/>
                <w:sz w:val="18"/>
                <w:szCs w:val="18"/>
              </w:rPr>
              <w:t>2</w:t>
            </w:r>
          </w:p>
        </w:tc>
        <w:tc>
          <w:tcPr>
            <w:tcW w:w="1432" w:type="dxa"/>
            <w:tcBorders>
              <w:top w:val="single" w:sz="4" w:space="0" w:color="auto"/>
              <w:left w:val="nil"/>
              <w:bottom w:val="single" w:sz="4" w:space="0" w:color="auto"/>
              <w:right w:val="nil"/>
            </w:tcBorders>
            <w:vAlign w:val="center"/>
          </w:tcPr>
          <w:p w:rsidR="00194C0A" w:rsidRPr="00BF68B8" w:rsidRDefault="00194C0A" w:rsidP="00B84F9B">
            <w:pPr>
              <w:spacing w:before="40" w:after="20"/>
              <w:ind w:right="454"/>
              <w:jc w:val="right"/>
              <w:rPr>
                <w:rFonts w:ascii="Arial Narrow" w:hAnsi="Arial Narrow" w:cs="Arial"/>
                <w:sz w:val="18"/>
                <w:szCs w:val="18"/>
              </w:rPr>
            </w:pPr>
            <w:r w:rsidRPr="00BF68B8">
              <w:rPr>
                <w:rFonts w:ascii="Arial Narrow" w:hAnsi="Arial Narrow" w:cs="Arial"/>
                <w:sz w:val="18"/>
                <w:szCs w:val="18"/>
              </w:rPr>
              <w:t>0,</w:t>
            </w:r>
            <w:r>
              <w:rPr>
                <w:rFonts w:ascii="Arial Narrow" w:hAnsi="Arial Narrow" w:cs="Arial"/>
                <w:sz w:val="18"/>
                <w:szCs w:val="18"/>
              </w:rPr>
              <w:t>2</w:t>
            </w:r>
          </w:p>
        </w:tc>
        <w:tc>
          <w:tcPr>
            <w:tcW w:w="1134" w:type="dxa"/>
            <w:tcBorders>
              <w:top w:val="single" w:sz="4" w:space="0" w:color="auto"/>
              <w:left w:val="nil"/>
              <w:bottom w:val="single" w:sz="4" w:space="0" w:color="auto"/>
              <w:right w:val="nil"/>
            </w:tcBorders>
            <w:shd w:val="clear" w:color="auto" w:fill="E6E6E6"/>
            <w:vAlign w:val="center"/>
          </w:tcPr>
          <w:p w:rsidR="00194C0A" w:rsidRPr="00BF68B8" w:rsidRDefault="00194C0A" w:rsidP="00384A3E">
            <w:pPr>
              <w:spacing w:before="40" w:after="20"/>
              <w:ind w:right="284"/>
              <w:jc w:val="right"/>
              <w:rPr>
                <w:rFonts w:ascii="Arial Narrow" w:hAnsi="Arial Narrow" w:cs="Arial"/>
                <w:sz w:val="18"/>
                <w:szCs w:val="18"/>
              </w:rPr>
            </w:pPr>
            <w:r w:rsidRPr="00BF68B8">
              <w:rPr>
                <w:rFonts w:ascii="Arial Narrow" w:hAnsi="Arial Narrow" w:cs="Arial"/>
                <w:sz w:val="18"/>
                <w:szCs w:val="18"/>
              </w:rPr>
              <w:t>120,</w:t>
            </w:r>
            <w:r>
              <w:rPr>
                <w:rFonts w:ascii="Arial Narrow" w:hAnsi="Arial Narrow" w:cs="Arial"/>
                <w:sz w:val="18"/>
                <w:szCs w:val="18"/>
              </w:rPr>
              <w:t>7</w:t>
            </w:r>
          </w:p>
        </w:tc>
        <w:tc>
          <w:tcPr>
            <w:tcW w:w="1134" w:type="dxa"/>
            <w:tcBorders>
              <w:top w:val="single" w:sz="4" w:space="0" w:color="auto"/>
              <w:left w:val="nil"/>
              <w:bottom w:val="single" w:sz="4" w:space="0" w:color="auto"/>
              <w:right w:val="nil"/>
            </w:tcBorders>
            <w:vAlign w:val="center"/>
          </w:tcPr>
          <w:p w:rsidR="00194C0A" w:rsidRPr="00BF68B8" w:rsidRDefault="00194C0A" w:rsidP="00384A3E">
            <w:pPr>
              <w:spacing w:before="40" w:after="20"/>
              <w:ind w:right="340"/>
              <w:jc w:val="right"/>
              <w:rPr>
                <w:rFonts w:ascii="Arial Narrow" w:hAnsi="Arial Narrow" w:cs="Arial"/>
                <w:sz w:val="18"/>
                <w:szCs w:val="18"/>
              </w:rPr>
            </w:pPr>
            <w:r w:rsidRPr="00BF68B8">
              <w:rPr>
                <w:rFonts w:ascii="Arial Narrow" w:hAnsi="Arial Narrow" w:cs="Arial"/>
                <w:sz w:val="18"/>
                <w:szCs w:val="18"/>
              </w:rPr>
              <w:t>0,</w:t>
            </w:r>
            <w:r>
              <w:rPr>
                <w:rFonts w:ascii="Arial Narrow" w:hAnsi="Arial Narrow" w:cs="Arial"/>
                <w:sz w:val="18"/>
                <w:szCs w:val="18"/>
              </w:rPr>
              <w:t>2</w:t>
            </w:r>
          </w:p>
        </w:tc>
        <w:tc>
          <w:tcPr>
            <w:tcW w:w="1276" w:type="dxa"/>
            <w:tcBorders>
              <w:top w:val="single" w:sz="4" w:space="0" w:color="auto"/>
              <w:left w:val="nil"/>
              <w:bottom w:val="single" w:sz="4" w:space="0" w:color="auto"/>
              <w:right w:val="nil"/>
            </w:tcBorders>
            <w:vAlign w:val="center"/>
          </w:tcPr>
          <w:p w:rsidR="00194C0A" w:rsidRPr="00BF68B8" w:rsidRDefault="00194C0A" w:rsidP="00E224EF">
            <w:pPr>
              <w:spacing w:before="40" w:after="20"/>
              <w:ind w:right="397"/>
              <w:jc w:val="right"/>
              <w:rPr>
                <w:rFonts w:ascii="Arial Narrow" w:hAnsi="Arial Narrow" w:cs="Arial"/>
                <w:sz w:val="18"/>
                <w:szCs w:val="18"/>
              </w:rPr>
            </w:pPr>
            <w:r w:rsidRPr="00BF68B8">
              <w:rPr>
                <w:rFonts w:ascii="Arial Narrow" w:hAnsi="Arial Narrow" w:cs="Arial"/>
                <w:sz w:val="18"/>
                <w:szCs w:val="18"/>
              </w:rPr>
              <w:t>0,2</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944BCE">
            <w:pPr>
              <w:spacing w:before="40" w:after="20"/>
              <w:rPr>
                <w:rFonts w:ascii="Arial Narrow" w:hAnsi="Arial Narrow" w:cs="Arial"/>
                <w:sz w:val="18"/>
                <w:szCs w:val="18"/>
              </w:rPr>
            </w:pPr>
            <w:r>
              <w:rPr>
                <w:rFonts w:ascii="Arial Narrow" w:hAnsi="Arial Narrow" w:cs="Arial"/>
                <w:sz w:val="18"/>
                <w:szCs w:val="18"/>
              </w:rPr>
              <w:t xml:space="preserve">Luglio </w:t>
            </w:r>
          </w:p>
        </w:tc>
        <w:tc>
          <w:tcPr>
            <w:tcW w:w="1134" w:type="dxa"/>
            <w:tcBorders>
              <w:top w:val="single" w:sz="4" w:space="0" w:color="auto"/>
              <w:left w:val="nil"/>
              <w:bottom w:val="single" w:sz="4" w:space="0" w:color="auto"/>
              <w:right w:val="nil"/>
            </w:tcBorders>
            <w:shd w:val="clear" w:color="auto" w:fill="E6E6E6"/>
            <w:vAlign w:val="center"/>
          </w:tcPr>
          <w:p w:rsidR="00194C0A" w:rsidRPr="00BF68B8" w:rsidRDefault="00194C0A" w:rsidP="00710439">
            <w:pPr>
              <w:spacing w:before="40" w:after="20"/>
              <w:ind w:right="284"/>
              <w:jc w:val="right"/>
              <w:rPr>
                <w:rFonts w:ascii="Arial Narrow" w:hAnsi="Arial Narrow" w:cs="Arial"/>
                <w:sz w:val="18"/>
                <w:szCs w:val="18"/>
              </w:rPr>
            </w:pPr>
            <w:r>
              <w:rPr>
                <w:rFonts w:ascii="Arial Narrow" w:hAnsi="Arial Narrow" w:cs="Arial"/>
                <w:sz w:val="18"/>
                <w:szCs w:val="18"/>
              </w:rPr>
              <w:t>107,7</w:t>
            </w:r>
          </w:p>
        </w:tc>
        <w:tc>
          <w:tcPr>
            <w:tcW w:w="978" w:type="dxa"/>
            <w:tcBorders>
              <w:top w:val="single" w:sz="4" w:space="0" w:color="auto"/>
              <w:left w:val="nil"/>
              <w:bottom w:val="single" w:sz="4" w:space="0" w:color="auto"/>
              <w:right w:val="nil"/>
            </w:tcBorders>
            <w:vAlign w:val="center"/>
          </w:tcPr>
          <w:p w:rsidR="00194C0A" w:rsidRPr="00BF68B8" w:rsidRDefault="00194C0A" w:rsidP="00A474C6">
            <w:pPr>
              <w:spacing w:before="40" w:after="20"/>
              <w:ind w:right="340"/>
              <w:jc w:val="right"/>
              <w:rPr>
                <w:rFonts w:ascii="Arial Narrow" w:hAnsi="Arial Narrow" w:cs="Arial"/>
                <w:sz w:val="18"/>
                <w:szCs w:val="18"/>
              </w:rPr>
            </w:pPr>
            <w:r>
              <w:rPr>
                <w:rFonts w:ascii="Arial Narrow" w:hAnsi="Arial Narrow" w:cs="Arial"/>
                <w:sz w:val="18"/>
                <w:szCs w:val="18"/>
              </w:rPr>
              <w:t>-0,1</w:t>
            </w:r>
          </w:p>
        </w:tc>
        <w:tc>
          <w:tcPr>
            <w:tcW w:w="1432" w:type="dxa"/>
            <w:tcBorders>
              <w:top w:val="single" w:sz="4" w:space="0" w:color="auto"/>
              <w:left w:val="nil"/>
              <w:bottom w:val="single" w:sz="4" w:space="0" w:color="auto"/>
              <w:right w:val="nil"/>
            </w:tcBorders>
            <w:vAlign w:val="center"/>
          </w:tcPr>
          <w:p w:rsidR="00194C0A" w:rsidRPr="00BF68B8" w:rsidRDefault="00194C0A" w:rsidP="00B84F9B">
            <w:pPr>
              <w:spacing w:before="40" w:after="20"/>
              <w:ind w:right="454"/>
              <w:jc w:val="right"/>
              <w:rPr>
                <w:rFonts w:ascii="Arial Narrow" w:hAnsi="Arial Narrow" w:cs="Arial"/>
                <w:sz w:val="18"/>
                <w:szCs w:val="18"/>
              </w:rPr>
            </w:pPr>
            <w:r>
              <w:rPr>
                <w:rFonts w:ascii="Arial Narrow" w:hAnsi="Arial Narrow" w:cs="Arial"/>
                <w:sz w:val="18"/>
                <w:szCs w:val="18"/>
              </w:rPr>
              <w:t>0,2</w:t>
            </w:r>
          </w:p>
        </w:tc>
        <w:tc>
          <w:tcPr>
            <w:tcW w:w="1134" w:type="dxa"/>
            <w:tcBorders>
              <w:top w:val="single" w:sz="4" w:space="0" w:color="auto"/>
              <w:left w:val="nil"/>
              <w:bottom w:val="single" w:sz="4" w:space="0" w:color="auto"/>
              <w:right w:val="nil"/>
            </w:tcBorders>
            <w:shd w:val="clear" w:color="auto" w:fill="E6E6E6"/>
            <w:vAlign w:val="center"/>
          </w:tcPr>
          <w:p w:rsidR="00194C0A" w:rsidRPr="00BF68B8" w:rsidRDefault="00194C0A" w:rsidP="00A474C6">
            <w:pPr>
              <w:spacing w:before="40" w:after="20"/>
              <w:ind w:right="284"/>
              <w:jc w:val="right"/>
              <w:rPr>
                <w:rFonts w:ascii="Arial Narrow" w:hAnsi="Arial Narrow" w:cs="Arial"/>
                <w:sz w:val="18"/>
                <w:szCs w:val="18"/>
              </w:rPr>
            </w:pPr>
            <w:r>
              <w:rPr>
                <w:rFonts w:ascii="Arial Narrow" w:hAnsi="Arial Narrow" w:cs="Arial"/>
                <w:sz w:val="18"/>
                <w:szCs w:val="18"/>
              </w:rPr>
              <w:t>118,3</w:t>
            </w:r>
          </w:p>
        </w:tc>
        <w:tc>
          <w:tcPr>
            <w:tcW w:w="1134" w:type="dxa"/>
            <w:tcBorders>
              <w:top w:val="single" w:sz="4" w:space="0" w:color="auto"/>
              <w:left w:val="nil"/>
              <w:bottom w:val="single" w:sz="4" w:space="0" w:color="auto"/>
              <w:right w:val="nil"/>
            </w:tcBorders>
            <w:vAlign w:val="center"/>
          </w:tcPr>
          <w:p w:rsidR="00194C0A" w:rsidRPr="00BF68B8" w:rsidRDefault="00194C0A" w:rsidP="00384A3E">
            <w:pPr>
              <w:spacing w:before="40" w:after="20"/>
              <w:ind w:right="340"/>
              <w:jc w:val="right"/>
              <w:rPr>
                <w:rFonts w:ascii="Arial Narrow" w:hAnsi="Arial Narrow" w:cs="Arial"/>
                <w:sz w:val="18"/>
                <w:szCs w:val="18"/>
              </w:rPr>
            </w:pPr>
            <w:r>
              <w:rPr>
                <w:rFonts w:ascii="Arial Narrow" w:hAnsi="Arial Narrow" w:cs="Arial"/>
                <w:sz w:val="18"/>
                <w:szCs w:val="18"/>
              </w:rPr>
              <w:t>-2,0</w:t>
            </w:r>
          </w:p>
        </w:tc>
        <w:tc>
          <w:tcPr>
            <w:tcW w:w="1276" w:type="dxa"/>
            <w:tcBorders>
              <w:top w:val="single" w:sz="4" w:space="0" w:color="auto"/>
              <w:left w:val="nil"/>
              <w:bottom w:val="single" w:sz="4" w:space="0" w:color="auto"/>
              <w:right w:val="nil"/>
            </w:tcBorders>
            <w:vAlign w:val="center"/>
          </w:tcPr>
          <w:p w:rsidR="00194C0A" w:rsidRPr="00BF68B8" w:rsidRDefault="00194C0A" w:rsidP="00E224EF">
            <w:pPr>
              <w:spacing w:before="40" w:after="20"/>
              <w:ind w:right="397"/>
              <w:jc w:val="right"/>
              <w:rPr>
                <w:rFonts w:ascii="Arial Narrow" w:hAnsi="Arial Narrow" w:cs="Arial"/>
                <w:sz w:val="18"/>
                <w:szCs w:val="18"/>
              </w:rPr>
            </w:pPr>
            <w:r>
              <w:rPr>
                <w:rFonts w:ascii="Arial Narrow" w:hAnsi="Arial Narrow" w:cs="Arial"/>
                <w:sz w:val="18"/>
                <w:szCs w:val="18"/>
              </w:rPr>
              <w:t>0,3</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0116E6">
            <w:pPr>
              <w:spacing w:before="40" w:after="20"/>
              <w:rPr>
                <w:rFonts w:ascii="Arial Narrow" w:hAnsi="Arial Narrow" w:cs="Arial"/>
                <w:sz w:val="18"/>
                <w:szCs w:val="18"/>
              </w:rPr>
            </w:pPr>
            <w:r>
              <w:rPr>
                <w:rFonts w:ascii="Arial Narrow" w:hAnsi="Arial Narrow" w:cs="Arial"/>
                <w:sz w:val="18"/>
                <w:szCs w:val="18"/>
              </w:rPr>
              <w:t>Agosto</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B37BE8">
            <w:pPr>
              <w:spacing w:before="40" w:after="20"/>
              <w:ind w:right="284"/>
              <w:jc w:val="right"/>
              <w:rPr>
                <w:rFonts w:ascii="Arial Narrow" w:hAnsi="Arial Narrow" w:cs="Arial"/>
                <w:sz w:val="18"/>
                <w:szCs w:val="18"/>
              </w:rPr>
            </w:pPr>
            <w:r>
              <w:rPr>
                <w:rFonts w:ascii="Arial Narrow" w:hAnsi="Arial Narrow" w:cs="Arial"/>
                <w:sz w:val="18"/>
                <w:szCs w:val="18"/>
              </w:rPr>
              <w:t>107,9</w:t>
            </w:r>
          </w:p>
        </w:tc>
        <w:tc>
          <w:tcPr>
            <w:tcW w:w="978" w:type="dxa"/>
            <w:tcBorders>
              <w:top w:val="single" w:sz="4" w:space="0" w:color="auto"/>
              <w:left w:val="nil"/>
              <w:bottom w:val="single" w:sz="4" w:space="0" w:color="auto"/>
              <w:right w:val="nil"/>
            </w:tcBorders>
            <w:vAlign w:val="center"/>
          </w:tcPr>
          <w:p w:rsidR="00194C0A" w:rsidRDefault="00194C0A" w:rsidP="00A474C6">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194C0A" w:rsidRDefault="00194C0A" w:rsidP="00B84F9B">
            <w:pPr>
              <w:spacing w:before="40" w:after="20"/>
              <w:ind w:right="454"/>
              <w:jc w:val="right"/>
              <w:rPr>
                <w:rFonts w:ascii="Arial Narrow" w:hAnsi="Arial Narrow" w:cs="Arial"/>
                <w:sz w:val="18"/>
                <w:szCs w:val="18"/>
              </w:rPr>
            </w:pPr>
            <w:r>
              <w:rPr>
                <w:rFonts w:ascii="Arial Narrow" w:hAnsi="Arial Narrow" w:cs="Arial"/>
                <w:sz w:val="18"/>
                <w:szCs w:val="18"/>
              </w:rPr>
              <w:t>0,2</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BA5B6C">
            <w:pPr>
              <w:spacing w:before="40" w:after="20"/>
              <w:ind w:right="284"/>
              <w:jc w:val="right"/>
              <w:rPr>
                <w:rFonts w:ascii="Arial Narrow" w:hAnsi="Arial Narrow" w:cs="Arial"/>
                <w:sz w:val="18"/>
                <w:szCs w:val="18"/>
              </w:rPr>
            </w:pPr>
            <w:r>
              <w:rPr>
                <w:rFonts w:ascii="Arial Narrow" w:hAnsi="Arial Narrow" w:cs="Arial"/>
                <w:sz w:val="18"/>
                <w:szCs w:val="18"/>
              </w:rPr>
              <w:t>118,2</w:t>
            </w:r>
          </w:p>
        </w:tc>
        <w:tc>
          <w:tcPr>
            <w:tcW w:w="1134" w:type="dxa"/>
            <w:tcBorders>
              <w:top w:val="single" w:sz="4" w:space="0" w:color="auto"/>
              <w:left w:val="nil"/>
              <w:bottom w:val="single" w:sz="4" w:space="0" w:color="auto"/>
              <w:right w:val="nil"/>
            </w:tcBorders>
            <w:vAlign w:val="center"/>
          </w:tcPr>
          <w:p w:rsidR="00194C0A" w:rsidRDefault="00194C0A" w:rsidP="00BA5B6C">
            <w:pPr>
              <w:spacing w:before="40" w:after="20"/>
              <w:ind w:right="340"/>
              <w:jc w:val="right"/>
              <w:rPr>
                <w:rFonts w:ascii="Arial Narrow" w:hAnsi="Arial Narrow" w:cs="Arial"/>
                <w:sz w:val="18"/>
                <w:szCs w:val="18"/>
              </w:rPr>
            </w:pPr>
            <w:r>
              <w:rPr>
                <w:rFonts w:ascii="Arial Narrow" w:hAnsi="Arial Narrow" w:cs="Arial"/>
                <w:sz w:val="18"/>
                <w:szCs w:val="18"/>
              </w:rPr>
              <w:t>-0,1</w:t>
            </w:r>
          </w:p>
        </w:tc>
        <w:tc>
          <w:tcPr>
            <w:tcW w:w="1276" w:type="dxa"/>
            <w:tcBorders>
              <w:top w:val="single" w:sz="4" w:space="0" w:color="auto"/>
              <w:left w:val="nil"/>
              <w:bottom w:val="single" w:sz="4" w:space="0" w:color="auto"/>
              <w:right w:val="nil"/>
            </w:tcBorders>
            <w:vAlign w:val="center"/>
          </w:tcPr>
          <w:p w:rsidR="00194C0A" w:rsidRDefault="00194C0A" w:rsidP="00E224EF">
            <w:pPr>
              <w:spacing w:before="40" w:after="20"/>
              <w:ind w:right="397"/>
              <w:jc w:val="right"/>
              <w:rPr>
                <w:rFonts w:ascii="Arial Narrow" w:hAnsi="Arial Narrow" w:cs="Arial"/>
                <w:sz w:val="18"/>
                <w:szCs w:val="18"/>
              </w:rPr>
            </w:pPr>
            <w:r>
              <w:rPr>
                <w:rFonts w:ascii="Arial Narrow" w:hAnsi="Arial Narrow" w:cs="Arial"/>
                <w:sz w:val="18"/>
                <w:szCs w:val="18"/>
              </w:rPr>
              <w:t>0,4</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9343C7">
            <w:pPr>
              <w:spacing w:before="40" w:after="20"/>
              <w:rPr>
                <w:rFonts w:ascii="Arial Narrow" w:hAnsi="Arial Narrow" w:cs="Arial"/>
                <w:sz w:val="18"/>
                <w:szCs w:val="18"/>
              </w:rPr>
            </w:pPr>
            <w:r>
              <w:rPr>
                <w:rFonts w:ascii="Arial Narrow" w:hAnsi="Arial Narrow" w:cs="Arial"/>
                <w:sz w:val="18"/>
                <w:szCs w:val="18"/>
              </w:rPr>
              <w:t xml:space="preserve">Settembre </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E518B5">
            <w:pPr>
              <w:spacing w:before="40" w:after="20"/>
              <w:ind w:right="284"/>
              <w:jc w:val="right"/>
              <w:rPr>
                <w:rFonts w:ascii="Arial Narrow" w:hAnsi="Arial Narrow" w:cs="Arial"/>
                <w:sz w:val="18"/>
                <w:szCs w:val="18"/>
              </w:rPr>
            </w:pPr>
            <w:r>
              <w:rPr>
                <w:rFonts w:ascii="Arial Narrow" w:hAnsi="Arial Narrow" w:cs="Arial"/>
                <w:sz w:val="18"/>
                <w:szCs w:val="18"/>
              </w:rPr>
              <w:t>107,5</w:t>
            </w:r>
          </w:p>
        </w:tc>
        <w:tc>
          <w:tcPr>
            <w:tcW w:w="978" w:type="dxa"/>
            <w:tcBorders>
              <w:top w:val="single" w:sz="4" w:space="0" w:color="auto"/>
              <w:left w:val="nil"/>
              <w:bottom w:val="single" w:sz="4" w:space="0" w:color="auto"/>
              <w:right w:val="nil"/>
            </w:tcBorders>
            <w:vAlign w:val="center"/>
          </w:tcPr>
          <w:p w:rsidR="00194C0A" w:rsidRDefault="00194C0A" w:rsidP="00E518B5">
            <w:pPr>
              <w:spacing w:before="40" w:after="20"/>
              <w:ind w:right="340"/>
              <w:jc w:val="right"/>
              <w:rPr>
                <w:rFonts w:ascii="Arial Narrow" w:hAnsi="Arial Narrow" w:cs="Arial"/>
                <w:sz w:val="18"/>
                <w:szCs w:val="18"/>
              </w:rPr>
            </w:pPr>
            <w:r>
              <w:rPr>
                <w:rFonts w:ascii="Arial Narrow" w:hAnsi="Arial Narrow" w:cs="Arial"/>
                <w:sz w:val="18"/>
                <w:szCs w:val="18"/>
              </w:rPr>
              <w:t>-0,4</w:t>
            </w:r>
          </w:p>
        </w:tc>
        <w:tc>
          <w:tcPr>
            <w:tcW w:w="1432" w:type="dxa"/>
            <w:tcBorders>
              <w:top w:val="single" w:sz="4" w:space="0" w:color="auto"/>
              <w:left w:val="nil"/>
              <w:bottom w:val="single" w:sz="4" w:space="0" w:color="auto"/>
              <w:right w:val="nil"/>
            </w:tcBorders>
            <w:vAlign w:val="center"/>
          </w:tcPr>
          <w:p w:rsidR="00194C0A" w:rsidRDefault="00194C0A" w:rsidP="00B84F9B">
            <w:pPr>
              <w:spacing w:before="40" w:after="20"/>
              <w:ind w:right="454"/>
              <w:jc w:val="right"/>
              <w:rPr>
                <w:rFonts w:ascii="Arial Narrow" w:hAnsi="Arial Narrow" w:cs="Arial"/>
                <w:sz w:val="18"/>
                <w:szCs w:val="18"/>
              </w:rPr>
            </w:pPr>
            <w:r>
              <w:rPr>
                <w:rFonts w:ascii="Arial Narrow" w:hAnsi="Arial Narrow" w:cs="Arial"/>
                <w:sz w:val="18"/>
                <w:szCs w:val="18"/>
              </w:rPr>
              <w:t>0,2</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A474C6">
            <w:pPr>
              <w:spacing w:before="40" w:after="20"/>
              <w:ind w:right="284"/>
              <w:jc w:val="right"/>
              <w:rPr>
                <w:rFonts w:ascii="Arial Narrow" w:hAnsi="Arial Narrow" w:cs="Arial"/>
                <w:sz w:val="18"/>
                <w:szCs w:val="18"/>
              </w:rPr>
            </w:pPr>
            <w:r>
              <w:rPr>
                <w:rFonts w:ascii="Arial Narrow" w:hAnsi="Arial Narrow" w:cs="Arial"/>
                <w:sz w:val="18"/>
                <w:szCs w:val="18"/>
              </w:rPr>
              <w:t>120,1</w:t>
            </w:r>
          </w:p>
        </w:tc>
        <w:tc>
          <w:tcPr>
            <w:tcW w:w="1134" w:type="dxa"/>
            <w:tcBorders>
              <w:top w:val="single" w:sz="4" w:space="0" w:color="auto"/>
              <w:left w:val="nil"/>
              <w:bottom w:val="single" w:sz="4" w:space="0" w:color="auto"/>
              <w:right w:val="nil"/>
            </w:tcBorders>
            <w:vAlign w:val="center"/>
          </w:tcPr>
          <w:p w:rsidR="00194C0A" w:rsidRDefault="00194C0A" w:rsidP="00384A3E">
            <w:pPr>
              <w:spacing w:before="40" w:after="20"/>
              <w:ind w:right="340"/>
              <w:jc w:val="right"/>
              <w:rPr>
                <w:rFonts w:ascii="Arial Narrow" w:hAnsi="Arial Narrow" w:cs="Arial"/>
                <w:sz w:val="18"/>
                <w:szCs w:val="18"/>
              </w:rPr>
            </w:pPr>
            <w:r>
              <w:rPr>
                <w:rFonts w:ascii="Arial Narrow" w:hAnsi="Arial Narrow" w:cs="Arial"/>
                <w:sz w:val="18"/>
                <w:szCs w:val="18"/>
              </w:rPr>
              <w:t>1,6</w:t>
            </w:r>
          </w:p>
        </w:tc>
        <w:tc>
          <w:tcPr>
            <w:tcW w:w="1276" w:type="dxa"/>
            <w:tcBorders>
              <w:top w:val="single" w:sz="4" w:space="0" w:color="auto"/>
              <w:left w:val="nil"/>
              <w:bottom w:val="single" w:sz="4" w:space="0" w:color="auto"/>
              <w:right w:val="nil"/>
            </w:tcBorders>
            <w:vAlign w:val="center"/>
          </w:tcPr>
          <w:p w:rsidR="00194C0A" w:rsidRDefault="00194C0A" w:rsidP="00D31818">
            <w:pPr>
              <w:spacing w:before="40" w:after="20"/>
              <w:ind w:right="397"/>
              <w:jc w:val="right"/>
              <w:rPr>
                <w:rFonts w:ascii="Arial Narrow" w:hAnsi="Arial Narrow" w:cs="Arial"/>
                <w:sz w:val="18"/>
                <w:szCs w:val="18"/>
              </w:rPr>
            </w:pPr>
            <w:r>
              <w:rPr>
                <w:rFonts w:ascii="Arial Narrow" w:hAnsi="Arial Narrow" w:cs="Arial"/>
                <w:sz w:val="18"/>
                <w:szCs w:val="18"/>
              </w:rPr>
              <w:t>0,2</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F15571">
            <w:pPr>
              <w:spacing w:before="40" w:after="20"/>
              <w:rPr>
                <w:rFonts w:ascii="Arial Narrow" w:hAnsi="Arial Narrow" w:cs="Arial"/>
                <w:sz w:val="18"/>
                <w:szCs w:val="18"/>
              </w:rPr>
            </w:pPr>
            <w:r w:rsidRPr="009343C7">
              <w:rPr>
                <w:rFonts w:ascii="Arial Narrow" w:hAnsi="Arial Narrow" w:cs="Arial"/>
                <w:sz w:val="18"/>
                <w:szCs w:val="18"/>
              </w:rPr>
              <w:t>Ottobre</w:t>
            </w:r>
            <w:r>
              <w:rPr>
                <w:rFonts w:ascii="Arial Narrow" w:hAnsi="Arial Narrow" w:cs="Arial"/>
                <w:sz w:val="18"/>
                <w:szCs w:val="18"/>
              </w:rPr>
              <w:t xml:space="preserve"> </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B37BE8">
            <w:pPr>
              <w:spacing w:before="40" w:after="20"/>
              <w:ind w:right="284"/>
              <w:jc w:val="right"/>
              <w:rPr>
                <w:rFonts w:ascii="Arial Narrow" w:hAnsi="Arial Narrow" w:cs="Arial"/>
                <w:sz w:val="18"/>
                <w:szCs w:val="18"/>
              </w:rPr>
            </w:pPr>
            <w:r>
              <w:rPr>
                <w:rFonts w:ascii="Arial Narrow" w:hAnsi="Arial Narrow" w:cs="Arial"/>
                <w:sz w:val="18"/>
                <w:szCs w:val="18"/>
              </w:rPr>
              <w:t>107,7</w:t>
            </w:r>
          </w:p>
        </w:tc>
        <w:tc>
          <w:tcPr>
            <w:tcW w:w="978" w:type="dxa"/>
            <w:tcBorders>
              <w:top w:val="single" w:sz="4" w:space="0" w:color="auto"/>
              <w:left w:val="nil"/>
              <w:bottom w:val="single" w:sz="4" w:space="0" w:color="auto"/>
              <w:right w:val="nil"/>
            </w:tcBorders>
            <w:vAlign w:val="center"/>
          </w:tcPr>
          <w:p w:rsidR="00194C0A" w:rsidRDefault="00194C0A" w:rsidP="00233C8B">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194C0A" w:rsidRDefault="00194C0A" w:rsidP="00B84F9B">
            <w:pPr>
              <w:spacing w:before="40" w:after="20"/>
              <w:ind w:right="454"/>
              <w:jc w:val="right"/>
              <w:rPr>
                <w:rFonts w:ascii="Arial Narrow" w:hAnsi="Arial Narrow" w:cs="Arial"/>
                <w:sz w:val="18"/>
                <w:szCs w:val="18"/>
              </w:rPr>
            </w:pPr>
            <w:r>
              <w:rPr>
                <w:rFonts w:ascii="Arial Narrow" w:hAnsi="Arial Narrow" w:cs="Arial"/>
                <w:sz w:val="18"/>
                <w:szCs w:val="18"/>
              </w:rPr>
              <w:t>0,3</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233C8B">
            <w:pPr>
              <w:spacing w:before="40" w:after="20"/>
              <w:ind w:right="284"/>
              <w:jc w:val="right"/>
              <w:rPr>
                <w:rFonts w:ascii="Arial Narrow" w:hAnsi="Arial Narrow" w:cs="Arial"/>
                <w:sz w:val="18"/>
                <w:szCs w:val="18"/>
              </w:rPr>
            </w:pPr>
            <w:r>
              <w:rPr>
                <w:rFonts w:ascii="Arial Narrow" w:hAnsi="Arial Narrow" w:cs="Arial"/>
                <w:sz w:val="18"/>
                <w:szCs w:val="18"/>
              </w:rPr>
              <w:t>120,7</w:t>
            </w:r>
          </w:p>
        </w:tc>
        <w:tc>
          <w:tcPr>
            <w:tcW w:w="1134" w:type="dxa"/>
            <w:tcBorders>
              <w:top w:val="single" w:sz="4" w:space="0" w:color="auto"/>
              <w:left w:val="nil"/>
              <w:bottom w:val="single" w:sz="4" w:space="0" w:color="auto"/>
              <w:right w:val="nil"/>
            </w:tcBorders>
            <w:vAlign w:val="center"/>
          </w:tcPr>
          <w:p w:rsidR="00194C0A" w:rsidRDefault="00194C0A" w:rsidP="00233C8B">
            <w:pPr>
              <w:spacing w:before="40" w:after="20"/>
              <w:ind w:right="340"/>
              <w:jc w:val="right"/>
              <w:rPr>
                <w:rFonts w:ascii="Arial Narrow" w:hAnsi="Arial Narrow" w:cs="Arial"/>
                <w:sz w:val="18"/>
                <w:szCs w:val="18"/>
              </w:rPr>
            </w:pPr>
            <w:r>
              <w:rPr>
                <w:rFonts w:ascii="Arial Narrow" w:hAnsi="Arial Narrow" w:cs="Arial"/>
                <w:sz w:val="18"/>
                <w:szCs w:val="18"/>
              </w:rPr>
              <w:t>0,5</w:t>
            </w:r>
          </w:p>
        </w:tc>
        <w:tc>
          <w:tcPr>
            <w:tcW w:w="1276" w:type="dxa"/>
            <w:tcBorders>
              <w:top w:val="single" w:sz="4" w:space="0" w:color="auto"/>
              <w:left w:val="nil"/>
              <w:bottom w:val="single" w:sz="4" w:space="0" w:color="auto"/>
              <w:right w:val="nil"/>
            </w:tcBorders>
            <w:vAlign w:val="center"/>
          </w:tcPr>
          <w:p w:rsidR="00194C0A" w:rsidRDefault="00194C0A" w:rsidP="00233C8B">
            <w:pPr>
              <w:spacing w:before="40" w:after="20"/>
              <w:ind w:right="397"/>
              <w:jc w:val="right"/>
              <w:rPr>
                <w:rFonts w:ascii="Arial Narrow" w:hAnsi="Arial Narrow" w:cs="Arial"/>
                <w:sz w:val="18"/>
                <w:szCs w:val="18"/>
              </w:rPr>
            </w:pPr>
            <w:r>
              <w:rPr>
                <w:rFonts w:ascii="Arial Narrow" w:hAnsi="Arial Narrow" w:cs="Arial"/>
                <w:sz w:val="18"/>
                <w:szCs w:val="18"/>
              </w:rPr>
              <w:t>0,3</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0F6BEF">
            <w:pPr>
              <w:spacing w:before="40" w:after="20"/>
              <w:rPr>
                <w:rFonts w:ascii="Arial Narrow" w:hAnsi="Arial Narrow" w:cs="Arial"/>
                <w:sz w:val="18"/>
                <w:szCs w:val="18"/>
              </w:rPr>
            </w:pPr>
            <w:r>
              <w:rPr>
                <w:rFonts w:ascii="Arial Narrow" w:hAnsi="Arial Narrow" w:cs="Arial"/>
                <w:sz w:val="18"/>
                <w:szCs w:val="18"/>
              </w:rPr>
              <w:t xml:space="preserve">Novembre </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5868EB">
            <w:pPr>
              <w:spacing w:before="40" w:after="20"/>
              <w:ind w:right="284"/>
              <w:jc w:val="right"/>
              <w:rPr>
                <w:rFonts w:ascii="Arial Narrow" w:hAnsi="Arial Narrow" w:cs="Arial"/>
                <w:sz w:val="18"/>
                <w:szCs w:val="18"/>
              </w:rPr>
            </w:pPr>
            <w:r>
              <w:rPr>
                <w:rFonts w:ascii="Arial Narrow" w:hAnsi="Arial Narrow" w:cs="Arial"/>
                <w:sz w:val="18"/>
                <w:szCs w:val="18"/>
              </w:rPr>
              <w:t>107,3</w:t>
            </w:r>
          </w:p>
        </w:tc>
        <w:tc>
          <w:tcPr>
            <w:tcW w:w="978" w:type="dxa"/>
            <w:tcBorders>
              <w:top w:val="single" w:sz="4" w:space="0" w:color="auto"/>
              <w:left w:val="nil"/>
              <w:bottom w:val="single" w:sz="4" w:space="0" w:color="auto"/>
              <w:right w:val="nil"/>
            </w:tcBorders>
            <w:vAlign w:val="center"/>
          </w:tcPr>
          <w:p w:rsidR="00194C0A" w:rsidRDefault="00194C0A" w:rsidP="00A1212A">
            <w:pPr>
              <w:spacing w:before="40" w:after="20"/>
              <w:ind w:right="340"/>
              <w:jc w:val="right"/>
              <w:rPr>
                <w:rFonts w:ascii="Arial Narrow" w:hAnsi="Arial Narrow" w:cs="Arial"/>
                <w:sz w:val="18"/>
                <w:szCs w:val="18"/>
              </w:rPr>
            </w:pPr>
            <w:r>
              <w:rPr>
                <w:rFonts w:ascii="Arial Narrow" w:hAnsi="Arial Narrow" w:cs="Arial"/>
                <w:sz w:val="18"/>
                <w:szCs w:val="18"/>
              </w:rPr>
              <w:t>-0,4</w:t>
            </w:r>
          </w:p>
        </w:tc>
        <w:tc>
          <w:tcPr>
            <w:tcW w:w="1432" w:type="dxa"/>
            <w:tcBorders>
              <w:top w:val="single" w:sz="4" w:space="0" w:color="auto"/>
              <w:left w:val="nil"/>
              <w:bottom w:val="single" w:sz="4" w:space="0" w:color="auto"/>
              <w:right w:val="nil"/>
            </w:tcBorders>
            <w:vAlign w:val="center"/>
          </w:tcPr>
          <w:p w:rsidR="00194C0A" w:rsidRDefault="00194C0A" w:rsidP="00A1212A">
            <w:pPr>
              <w:spacing w:before="40" w:after="20"/>
              <w:ind w:right="454"/>
              <w:jc w:val="right"/>
              <w:rPr>
                <w:rFonts w:ascii="Arial Narrow" w:hAnsi="Arial Narrow" w:cs="Arial"/>
                <w:sz w:val="18"/>
                <w:szCs w:val="18"/>
              </w:rPr>
            </w:pPr>
            <w:r>
              <w:rPr>
                <w:rFonts w:ascii="Arial Narrow" w:hAnsi="Arial Narrow" w:cs="Arial"/>
                <w:sz w:val="18"/>
                <w:szCs w:val="18"/>
              </w:rPr>
              <w:t>0,1</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7F3DC6">
            <w:pPr>
              <w:spacing w:before="40" w:after="20"/>
              <w:ind w:right="284"/>
              <w:jc w:val="right"/>
              <w:rPr>
                <w:rFonts w:ascii="Arial Narrow" w:hAnsi="Arial Narrow" w:cs="Arial"/>
                <w:sz w:val="18"/>
                <w:szCs w:val="18"/>
              </w:rPr>
            </w:pPr>
            <w:r>
              <w:rPr>
                <w:rFonts w:ascii="Arial Narrow" w:hAnsi="Arial Narrow" w:cs="Arial"/>
                <w:sz w:val="18"/>
                <w:szCs w:val="18"/>
              </w:rPr>
              <w:t>120,2</w:t>
            </w:r>
          </w:p>
        </w:tc>
        <w:tc>
          <w:tcPr>
            <w:tcW w:w="1134" w:type="dxa"/>
            <w:tcBorders>
              <w:top w:val="single" w:sz="4" w:space="0" w:color="auto"/>
              <w:left w:val="nil"/>
              <w:bottom w:val="single" w:sz="4" w:space="0" w:color="auto"/>
              <w:right w:val="nil"/>
            </w:tcBorders>
            <w:vAlign w:val="center"/>
          </w:tcPr>
          <w:p w:rsidR="00194C0A" w:rsidRDefault="00194C0A" w:rsidP="009C347E">
            <w:pPr>
              <w:spacing w:before="40" w:after="20"/>
              <w:ind w:right="340"/>
              <w:jc w:val="right"/>
              <w:rPr>
                <w:rFonts w:ascii="Arial Narrow" w:hAnsi="Arial Narrow" w:cs="Arial"/>
                <w:sz w:val="18"/>
                <w:szCs w:val="18"/>
              </w:rPr>
            </w:pPr>
            <w:r>
              <w:rPr>
                <w:rFonts w:ascii="Arial Narrow" w:hAnsi="Arial Narrow" w:cs="Arial"/>
                <w:sz w:val="18"/>
                <w:szCs w:val="18"/>
              </w:rPr>
              <w:t>-0,4</w:t>
            </w:r>
          </w:p>
        </w:tc>
        <w:tc>
          <w:tcPr>
            <w:tcW w:w="1276" w:type="dxa"/>
            <w:tcBorders>
              <w:top w:val="single" w:sz="4" w:space="0" w:color="auto"/>
              <w:left w:val="nil"/>
              <w:bottom w:val="single" w:sz="4" w:space="0" w:color="auto"/>
              <w:right w:val="nil"/>
            </w:tcBorders>
            <w:vAlign w:val="center"/>
          </w:tcPr>
          <w:p w:rsidR="00194C0A" w:rsidRDefault="00194C0A" w:rsidP="009C347E">
            <w:pPr>
              <w:spacing w:before="40" w:after="20"/>
              <w:ind w:right="397"/>
              <w:jc w:val="right"/>
              <w:rPr>
                <w:rFonts w:ascii="Arial Narrow" w:hAnsi="Arial Narrow" w:cs="Arial"/>
                <w:sz w:val="18"/>
                <w:szCs w:val="18"/>
              </w:rPr>
            </w:pPr>
            <w:r>
              <w:rPr>
                <w:rFonts w:ascii="Arial Narrow" w:hAnsi="Arial Narrow" w:cs="Arial"/>
                <w:sz w:val="18"/>
                <w:szCs w:val="18"/>
              </w:rPr>
              <w:t>0,2</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403420">
            <w:pPr>
              <w:spacing w:before="40" w:after="20"/>
              <w:rPr>
                <w:rFonts w:ascii="Arial Narrow" w:hAnsi="Arial Narrow" w:cs="Arial"/>
                <w:sz w:val="18"/>
                <w:szCs w:val="18"/>
              </w:rPr>
            </w:pPr>
            <w:r>
              <w:rPr>
                <w:rFonts w:ascii="Arial Narrow" w:hAnsi="Arial Narrow" w:cs="Arial"/>
                <w:sz w:val="18"/>
                <w:szCs w:val="18"/>
              </w:rPr>
              <w:t>Dicembre</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pPr>
              <w:spacing w:before="40" w:after="20"/>
              <w:ind w:right="284"/>
              <w:jc w:val="right"/>
              <w:rPr>
                <w:rFonts w:ascii="Arial Narrow" w:hAnsi="Arial Narrow" w:cs="Arial"/>
                <w:sz w:val="18"/>
                <w:szCs w:val="18"/>
              </w:rPr>
            </w:pPr>
            <w:r>
              <w:rPr>
                <w:rFonts w:ascii="Arial Narrow" w:hAnsi="Arial Narrow" w:cs="Arial"/>
                <w:sz w:val="18"/>
                <w:szCs w:val="18"/>
              </w:rPr>
              <w:t>107</w:t>
            </w:r>
            <w:r w:rsidR="00FC232F">
              <w:rPr>
                <w:rFonts w:ascii="Arial Narrow" w:hAnsi="Arial Narrow" w:cs="Arial"/>
                <w:sz w:val="18"/>
                <w:szCs w:val="18"/>
              </w:rPr>
              <w:t>,</w:t>
            </w:r>
            <w:r>
              <w:rPr>
                <w:rFonts w:ascii="Arial Narrow" w:hAnsi="Arial Narrow" w:cs="Arial"/>
                <w:sz w:val="18"/>
                <w:szCs w:val="18"/>
              </w:rPr>
              <w:t>3</w:t>
            </w:r>
          </w:p>
        </w:tc>
        <w:tc>
          <w:tcPr>
            <w:tcW w:w="978" w:type="dxa"/>
            <w:tcBorders>
              <w:top w:val="single" w:sz="4" w:space="0" w:color="auto"/>
              <w:left w:val="nil"/>
              <w:bottom w:val="single" w:sz="4" w:space="0" w:color="auto"/>
              <w:right w:val="nil"/>
            </w:tcBorders>
            <w:vAlign w:val="center"/>
          </w:tcPr>
          <w:p w:rsidR="00194C0A" w:rsidRDefault="00194C0A" w:rsidP="00BC1194">
            <w:pPr>
              <w:spacing w:before="40" w:after="20"/>
              <w:ind w:right="340"/>
              <w:jc w:val="right"/>
              <w:rPr>
                <w:rFonts w:ascii="Arial Narrow" w:hAnsi="Arial Narrow" w:cs="Arial"/>
                <w:sz w:val="18"/>
                <w:szCs w:val="18"/>
              </w:rPr>
            </w:pPr>
            <w:r>
              <w:rPr>
                <w:rFonts w:ascii="Arial Narrow" w:hAnsi="Arial Narrow" w:cs="Arial"/>
                <w:sz w:val="18"/>
                <w:szCs w:val="18"/>
              </w:rPr>
              <w:t>0,0</w:t>
            </w:r>
          </w:p>
        </w:tc>
        <w:tc>
          <w:tcPr>
            <w:tcW w:w="1432" w:type="dxa"/>
            <w:tcBorders>
              <w:top w:val="single" w:sz="4" w:space="0" w:color="auto"/>
              <w:left w:val="nil"/>
              <w:bottom w:val="single" w:sz="4" w:space="0" w:color="auto"/>
              <w:right w:val="nil"/>
            </w:tcBorders>
            <w:vAlign w:val="center"/>
          </w:tcPr>
          <w:p w:rsidR="00194C0A" w:rsidRDefault="00194C0A" w:rsidP="00A1212A">
            <w:pPr>
              <w:spacing w:before="40" w:after="20"/>
              <w:ind w:right="454"/>
              <w:jc w:val="right"/>
              <w:rPr>
                <w:rFonts w:ascii="Arial Narrow" w:hAnsi="Arial Narrow" w:cs="Arial"/>
                <w:sz w:val="18"/>
                <w:szCs w:val="18"/>
              </w:rPr>
            </w:pPr>
            <w:r>
              <w:rPr>
                <w:rFonts w:ascii="Arial Narrow" w:hAnsi="Arial Narrow" w:cs="Arial"/>
                <w:sz w:val="18"/>
                <w:szCs w:val="18"/>
              </w:rPr>
              <w:t>0,1</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9C347E">
            <w:pPr>
              <w:spacing w:before="40" w:after="20"/>
              <w:ind w:right="284"/>
              <w:jc w:val="right"/>
              <w:rPr>
                <w:rFonts w:ascii="Arial Narrow" w:hAnsi="Arial Narrow" w:cs="Arial"/>
                <w:sz w:val="18"/>
                <w:szCs w:val="18"/>
              </w:rPr>
            </w:pPr>
            <w:r>
              <w:rPr>
                <w:rFonts w:ascii="Arial Narrow" w:hAnsi="Arial Narrow" w:cs="Arial"/>
                <w:sz w:val="18"/>
                <w:szCs w:val="18"/>
              </w:rPr>
              <w:t>120,1</w:t>
            </w:r>
          </w:p>
        </w:tc>
        <w:tc>
          <w:tcPr>
            <w:tcW w:w="1134" w:type="dxa"/>
            <w:tcBorders>
              <w:top w:val="single" w:sz="4" w:space="0" w:color="auto"/>
              <w:left w:val="nil"/>
              <w:bottom w:val="single" w:sz="4" w:space="0" w:color="auto"/>
              <w:right w:val="nil"/>
            </w:tcBorders>
            <w:vAlign w:val="center"/>
          </w:tcPr>
          <w:p w:rsidR="00194C0A" w:rsidRDefault="00194C0A" w:rsidP="007F3DC6">
            <w:pPr>
              <w:spacing w:before="40" w:after="20"/>
              <w:ind w:right="340"/>
              <w:jc w:val="right"/>
              <w:rPr>
                <w:rFonts w:ascii="Arial Narrow" w:hAnsi="Arial Narrow" w:cs="Arial"/>
                <w:sz w:val="18"/>
                <w:szCs w:val="18"/>
              </w:rPr>
            </w:pPr>
            <w:r>
              <w:rPr>
                <w:rFonts w:ascii="Arial Narrow" w:hAnsi="Arial Narrow" w:cs="Arial"/>
                <w:sz w:val="18"/>
                <w:szCs w:val="18"/>
              </w:rPr>
              <w:t>-0,1</w:t>
            </w:r>
          </w:p>
        </w:tc>
        <w:tc>
          <w:tcPr>
            <w:tcW w:w="1276" w:type="dxa"/>
            <w:tcBorders>
              <w:top w:val="single" w:sz="4" w:space="0" w:color="auto"/>
              <w:left w:val="nil"/>
              <w:bottom w:val="single" w:sz="4" w:space="0" w:color="auto"/>
              <w:right w:val="nil"/>
            </w:tcBorders>
            <w:vAlign w:val="center"/>
          </w:tcPr>
          <w:p w:rsidR="00194C0A" w:rsidRDefault="00194C0A" w:rsidP="007F3DC6">
            <w:pPr>
              <w:spacing w:before="40" w:after="20"/>
              <w:ind w:right="397"/>
              <w:jc w:val="right"/>
              <w:rPr>
                <w:rFonts w:ascii="Arial Narrow" w:hAnsi="Arial Narrow" w:cs="Arial"/>
                <w:sz w:val="18"/>
                <w:szCs w:val="18"/>
              </w:rPr>
            </w:pPr>
            <w:r>
              <w:rPr>
                <w:rFonts w:ascii="Arial Narrow" w:hAnsi="Arial Narrow" w:cs="Arial"/>
                <w:sz w:val="18"/>
                <w:szCs w:val="18"/>
              </w:rPr>
              <w:t>0,1</w:t>
            </w:r>
          </w:p>
        </w:tc>
      </w:tr>
      <w:tr w:rsidR="00194C0A" w:rsidRPr="008154D4" w:rsidTr="005B75D7">
        <w:trPr>
          <w:trHeight w:val="284"/>
        </w:trPr>
        <w:tc>
          <w:tcPr>
            <w:tcW w:w="1701" w:type="dxa"/>
            <w:tcBorders>
              <w:top w:val="single" w:sz="4" w:space="0" w:color="auto"/>
              <w:left w:val="nil"/>
              <w:bottom w:val="single" w:sz="4" w:space="0" w:color="auto"/>
              <w:right w:val="nil"/>
            </w:tcBorders>
            <w:shd w:val="clear" w:color="auto" w:fill="FF0000"/>
            <w:vAlign w:val="center"/>
          </w:tcPr>
          <w:p w:rsidR="00194C0A" w:rsidRPr="00ED610F" w:rsidRDefault="00194C0A" w:rsidP="005B75D7">
            <w:pPr>
              <w:spacing w:before="40" w:after="20"/>
              <w:rPr>
                <w:rFonts w:ascii="Arial Narrow" w:hAnsi="Arial Narrow" w:cs="Arial"/>
                <w:b/>
                <w:color w:val="FFFFFF"/>
                <w:sz w:val="18"/>
                <w:szCs w:val="18"/>
              </w:rPr>
            </w:pPr>
            <w:r w:rsidRPr="00ED610F">
              <w:rPr>
                <w:rFonts w:ascii="Arial Narrow" w:hAnsi="Arial Narrow" w:cs="Arial"/>
                <w:b/>
                <w:bCs/>
                <w:color w:val="FFFFFF"/>
                <w:sz w:val="18"/>
                <w:szCs w:val="18"/>
              </w:rPr>
              <w:t>201</w:t>
            </w:r>
            <w:r>
              <w:rPr>
                <w:rFonts w:ascii="Arial Narrow" w:hAnsi="Arial Narrow" w:cs="Arial"/>
                <w:b/>
                <w:bCs/>
                <w:color w:val="FFFFFF"/>
                <w:sz w:val="18"/>
                <w:szCs w:val="18"/>
              </w:rPr>
              <w:t>6</w:t>
            </w:r>
          </w:p>
        </w:tc>
        <w:tc>
          <w:tcPr>
            <w:tcW w:w="3544" w:type="dxa"/>
            <w:gridSpan w:val="3"/>
            <w:tcBorders>
              <w:top w:val="single" w:sz="4" w:space="0" w:color="auto"/>
              <w:left w:val="nil"/>
              <w:bottom w:val="single" w:sz="4" w:space="0" w:color="auto"/>
              <w:right w:val="nil"/>
            </w:tcBorders>
            <w:shd w:val="clear" w:color="auto" w:fill="FF0000"/>
            <w:vAlign w:val="center"/>
          </w:tcPr>
          <w:p w:rsidR="00194C0A" w:rsidRPr="0008235E" w:rsidRDefault="00194C0A">
            <w:pPr>
              <w:spacing w:before="40" w:after="20"/>
              <w:ind w:right="454"/>
              <w:jc w:val="center"/>
              <w:rPr>
                <w:rFonts w:ascii="Arial Narrow" w:hAnsi="Arial Narrow" w:cs="Arial"/>
                <w:b/>
                <w:bCs/>
                <w:color w:val="FFFFFF" w:themeColor="background1"/>
                <w:sz w:val="18"/>
                <w:szCs w:val="18"/>
              </w:rPr>
            </w:pPr>
            <w:r w:rsidRPr="00AA34B2">
              <w:rPr>
                <w:rFonts w:ascii="Arial Narrow" w:hAnsi="Arial Narrow" w:cs="Arial"/>
                <w:b/>
                <w:bCs/>
                <w:color w:val="FFFFFF"/>
                <w:sz w:val="18"/>
                <w:szCs w:val="18"/>
              </w:rPr>
              <w:t xml:space="preserve">Base </w:t>
            </w:r>
            <w:r>
              <w:rPr>
                <w:rFonts w:ascii="Arial Narrow" w:hAnsi="Arial Narrow" w:cs="Arial"/>
                <w:b/>
                <w:bCs/>
                <w:color w:val="FFFFFF"/>
                <w:sz w:val="18"/>
                <w:szCs w:val="18"/>
              </w:rPr>
              <w:t>2015</w:t>
            </w:r>
            <w:r w:rsidR="007B6758" w:rsidRPr="007B6758">
              <w:rPr>
                <w:rFonts w:ascii="Arial Narrow" w:hAnsi="Arial Narrow" w:cs="Arial"/>
                <w:b/>
                <w:bCs/>
                <w:color w:val="FFFFFF" w:themeColor="background1"/>
                <w:sz w:val="18"/>
                <w:szCs w:val="18"/>
              </w:rPr>
              <w:t>=100</w:t>
            </w:r>
          </w:p>
        </w:tc>
        <w:tc>
          <w:tcPr>
            <w:tcW w:w="3544" w:type="dxa"/>
            <w:gridSpan w:val="3"/>
            <w:tcBorders>
              <w:top w:val="single" w:sz="4" w:space="0" w:color="auto"/>
              <w:left w:val="nil"/>
              <w:bottom w:val="single" w:sz="4" w:space="0" w:color="auto"/>
              <w:right w:val="nil"/>
            </w:tcBorders>
            <w:shd w:val="clear" w:color="auto" w:fill="FF0000"/>
            <w:vAlign w:val="center"/>
          </w:tcPr>
          <w:p w:rsidR="00194C0A" w:rsidRPr="00ED610F" w:rsidRDefault="00194C0A" w:rsidP="00194C0A">
            <w:pPr>
              <w:spacing w:before="40" w:after="20"/>
              <w:jc w:val="center"/>
              <w:rPr>
                <w:rFonts w:ascii="Arial Narrow" w:hAnsi="Arial Narrow" w:cs="Arial"/>
                <w:b/>
                <w:color w:val="FFFFFF"/>
                <w:sz w:val="18"/>
                <w:szCs w:val="18"/>
              </w:rPr>
            </w:pPr>
            <w:r w:rsidRPr="00AA34B2">
              <w:rPr>
                <w:rFonts w:ascii="Arial Narrow" w:hAnsi="Arial Narrow" w:cs="Arial"/>
                <w:b/>
                <w:bCs/>
                <w:color w:val="FFFFFF"/>
                <w:sz w:val="18"/>
                <w:szCs w:val="18"/>
              </w:rPr>
              <w:t xml:space="preserve">Base </w:t>
            </w:r>
            <w:r>
              <w:rPr>
                <w:rFonts w:ascii="Arial Narrow" w:hAnsi="Arial Narrow" w:cs="Arial"/>
                <w:b/>
                <w:bCs/>
                <w:color w:val="FFFFFF"/>
                <w:sz w:val="18"/>
                <w:szCs w:val="18"/>
              </w:rPr>
              <w:t>2015</w:t>
            </w:r>
            <w:r w:rsidRPr="00AA34B2">
              <w:rPr>
                <w:rFonts w:ascii="Arial Narrow" w:hAnsi="Arial Narrow" w:cs="Arial"/>
                <w:b/>
                <w:bCs/>
                <w:color w:val="FFFFFF"/>
                <w:sz w:val="18"/>
                <w:szCs w:val="18"/>
              </w:rPr>
              <w:t>=100</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F45751">
            <w:pPr>
              <w:spacing w:before="40" w:after="20"/>
              <w:rPr>
                <w:rFonts w:ascii="Arial Narrow" w:hAnsi="Arial Narrow" w:cs="Arial"/>
                <w:sz w:val="18"/>
                <w:szCs w:val="18"/>
              </w:rPr>
            </w:pPr>
            <w:r>
              <w:rPr>
                <w:rFonts w:ascii="Arial Narrow" w:hAnsi="Arial Narrow" w:cs="Arial"/>
                <w:sz w:val="18"/>
                <w:szCs w:val="18"/>
              </w:rPr>
              <w:t xml:space="preserve">Gennaio </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A23D4D">
            <w:pPr>
              <w:spacing w:before="40" w:after="20"/>
              <w:ind w:right="284"/>
              <w:jc w:val="right"/>
              <w:rPr>
                <w:rFonts w:ascii="Arial Narrow" w:hAnsi="Arial Narrow" w:cs="Arial"/>
                <w:sz w:val="18"/>
                <w:szCs w:val="18"/>
              </w:rPr>
            </w:pPr>
            <w:r>
              <w:rPr>
                <w:rFonts w:ascii="Arial Narrow" w:hAnsi="Arial Narrow" w:cs="Arial"/>
                <w:sz w:val="18"/>
                <w:szCs w:val="18"/>
              </w:rPr>
              <w:t>99,6</w:t>
            </w:r>
          </w:p>
        </w:tc>
        <w:tc>
          <w:tcPr>
            <w:tcW w:w="978" w:type="dxa"/>
            <w:tcBorders>
              <w:top w:val="single" w:sz="4" w:space="0" w:color="auto"/>
              <w:left w:val="nil"/>
              <w:bottom w:val="single" w:sz="4" w:space="0" w:color="auto"/>
              <w:right w:val="nil"/>
            </w:tcBorders>
            <w:vAlign w:val="center"/>
          </w:tcPr>
          <w:p w:rsidR="00194C0A" w:rsidRDefault="00194C0A" w:rsidP="00A23D4D">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194C0A" w:rsidRDefault="00194C0A" w:rsidP="00A23D4D">
            <w:pPr>
              <w:spacing w:before="40" w:after="20"/>
              <w:ind w:right="454"/>
              <w:jc w:val="right"/>
              <w:rPr>
                <w:rFonts w:ascii="Arial Narrow" w:hAnsi="Arial Narrow" w:cs="Arial"/>
                <w:sz w:val="18"/>
                <w:szCs w:val="18"/>
              </w:rPr>
            </w:pPr>
            <w:r>
              <w:rPr>
                <w:rFonts w:ascii="Arial Narrow" w:hAnsi="Arial Narrow" w:cs="Arial"/>
                <w:sz w:val="18"/>
                <w:szCs w:val="18"/>
              </w:rPr>
              <w:t>0,3</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A23D4D">
            <w:pPr>
              <w:spacing w:before="40" w:after="20"/>
              <w:ind w:right="284"/>
              <w:jc w:val="right"/>
              <w:rPr>
                <w:rFonts w:ascii="Arial Narrow" w:hAnsi="Arial Narrow" w:cs="Arial"/>
                <w:sz w:val="18"/>
                <w:szCs w:val="18"/>
              </w:rPr>
            </w:pPr>
            <w:r>
              <w:rPr>
                <w:rFonts w:ascii="Arial Narrow" w:hAnsi="Arial Narrow" w:cs="Arial"/>
                <w:sz w:val="18"/>
                <w:szCs w:val="18"/>
              </w:rPr>
              <w:t>98,4</w:t>
            </w:r>
          </w:p>
        </w:tc>
        <w:tc>
          <w:tcPr>
            <w:tcW w:w="1134" w:type="dxa"/>
            <w:tcBorders>
              <w:top w:val="single" w:sz="4" w:space="0" w:color="auto"/>
              <w:left w:val="nil"/>
              <w:bottom w:val="single" w:sz="4" w:space="0" w:color="auto"/>
              <w:right w:val="nil"/>
            </w:tcBorders>
            <w:vAlign w:val="center"/>
          </w:tcPr>
          <w:p w:rsidR="00194C0A" w:rsidRDefault="00194C0A" w:rsidP="00A23D4D">
            <w:pPr>
              <w:spacing w:before="40" w:after="20"/>
              <w:ind w:right="340"/>
              <w:jc w:val="right"/>
              <w:rPr>
                <w:rFonts w:ascii="Arial Narrow" w:hAnsi="Arial Narrow" w:cs="Arial"/>
                <w:sz w:val="18"/>
                <w:szCs w:val="18"/>
              </w:rPr>
            </w:pPr>
            <w:r>
              <w:rPr>
                <w:rFonts w:ascii="Arial Narrow" w:hAnsi="Arial Narrow" w:cs="Arial"/>
                <w:sz w:val="18"/>
                <w:szCs w:val="18"/>
              </w:rPr>
              <w:t>-2,2</w:t>
            </w:r>
          </w:p>
        </w:tc>
        <w:tc>
          <w:tcPr>
            <w:tcW w:w="1276" w:type="dxa"/>
            <w:tcBorders>
              <w:top w:val="single" w:sz="4" w:space="0" w:color="auto"/>
              <w:left w:val="nil"/>
              <w:bottom w:val="single" w:sz="4" w:space="0" w:color="auto"/>
              <w:right w:val="nil"/>
            </w:tcBorders>
            <w:vAlign w:val="center"/>
          </w:tcPr>
          <w:p w:rsidR="00194C0A" w:rsidRDefault="00194C0A" w:rsidP="00A23D4D">
            <w:pPr>
              <w:spacing w:before="40" w:after="20"/>
              <w:ind w:right="397"/>
              <w:jc w:val="right"/>
              <w:rPr>
                <w:rFonts w:ascii="Arial Narrow" w:hAnsi="Arial Narrow" w:cs="Arial"/>
                <w:sz w:val="18"/>
                <w:szCs w:val="18"/>
              </w:rPr>
            </w:pPr>
            <w:r>
              <w:rPr>
                <w:rFonts w:ascii="Arial Narrow" w:hAnsi="Arial Narrow" w:cs="Arial"/>
                <w:sz w:val="18"/>
                <w:szCs w:val="18"/>
              </w:rPr>
              <w:t>0,4</w:t>
            </w:r>
          </w:p>
        </w:tc>
      </w:tr>
      <w:tr w:rsidR="00194C0A" w:rsidRPr="00EE17F3" w:rsidTr="009E2B81">
        <w:trPr>
          <w:trHeight w:val="227"/>
        </w:trPr>
        <w:tc>
          <w:tcPr>
            <w:tcW w:w="1701" w:type="dxa"/>
            <w:tcBorders>
              <w:top w:val="single" w:sz="4" w:space="0" w:color="auto"/>
              <w:left w:val="nil"/>
              <w:bottom w:val="single" w:sz="4" w:space="0" w:color="auto"/>
              <w:right w:val="nil"/>
            </w:tcBorders>
            <w:vAlign w:val="center"/>
          </w:tcPr>
          <w:p w:rsidR="00194C0A" w:rsidRDefault="00194C0A" w:rsidP="004B59F9">
            <w:pPr>
              <w:spacing w:before="40" w:after="20"/>
              <w:rPr>
                <w:rFonts w:ascii="Arial Narrow" w:hAnsi="Arial Narrow" w:cs="Arial"/>
                <w:sz w:val="18"/>
                <w:szCs w:val="18"/>
              </w:rPr>
            </w:pPr>
            <w:r w:rsidRPr="00F45751">
              <w:rPr>
                <w:rFonts w:ascii="Arial Narrow" w:hAnsi="Arial Narrow" w:cs="Arial"/>
                <w:sz w:val="18"/>
                <w:szCs w:val="18"/>
              </w:rPr>
              <w:t>Febbraio</w:t>
            </w:r>
            <w:r>
              <w:rPr>
                <w:rFonts w:ascii="Arial Narrow" w:hAnsi="Arial Narrow" w:cs="Arial"/>
                <w:sz w:val="18"/>
                <w:szCs w:val="18"/>
              </w:rPr>
              <w:t xml:space="preserve"> </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5868EB">
            <w:pPr>
              <w:spacing w:before="40" w:after="20"/>
              <w:ind w:right="284"/>
              <w:jc w:val="right"/>
              <w:rPr>
                <w:rFonts w:ascii="Arial Narrow" w:hAnsi="Arial Narrow" w:cs="Arial"/>
                <w:sz w:val="18"/>
                <w:szCs w:val="18"/>
              </w:rPr>
            </w:pPr>
            <w:r>
              <w:rPr>
                <w:rFonts w:ascii="Arial Narrow" w:hAnsi="Arial Narrow" w:cs="Arial"/>
                <w:sz w:val="18"/>
                <w:szCs w:val="18"/>
              </w:rPr>
              <w:t>99,4</w:t>
            </w:r>
          </w:p>
        </w:tc>
        <w:tc>
          <w:tcPr>
            <w:tcW w:w="978" w:type="dxa"/>
            <w:tcBorders>
              <w:top w:val="single" w:sz="4" w:space="0" w:color="auto"/>
              <w:left w:val="nil"/>
              <w:bottom w:val="single" w:sz="4" w:space="0" w:color="auto"/>
              <w:right w:val="nil"/>
            </w:tcBorders>
            <w:vAlign w:val="center"/>
          </w:tcPr>
          <w:p w:rsidR="00194C0A" w:rsidRDefault="00194C0A" w:rsidP="00A1212A">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194C0A" w:rsidRDefault="00194C0A" w:rsidP="00C01D9D">
            <w:pPr>
              <w:spacing w:before="40" w:after="20"/>
              <w:ind w:right="454"/>
              <w:jc w:val="right"/>
              <w:rPr>
                <w:rFonts w:ascii="Arial Narrow" w:hAnsi="Arial Narrow" w:cs="Arial"/>
                <w:sz w:val="18"/>
                <w:szCs w:val="18"/>
              </w:rPr>
            </w:pPr>
            <w:r>
              <w:rPr>
                <w:rFonts w:ascii="Arial Narrow" w:hAnsi="Arial Narrow" w:cs="Arial"/>
                <w:sz w:val="18"/>
                <w:szCs w:val="18"/>
              </w:rPr>
              <w:t>-0,3</w:t>
            </w:r>
          </w:p>
        </w:tc>
        <w:tc>
          <w:tcPr>
            <w:tcW w:w="1134" w:type="dxa"/>
            <w:tcBorders>
              <w:top w:val="single" w:sz="4" w:space="0" w:color="auto"/>
              <w:left w:val="nil"/>
              <w:bottom w:val="single" w:sz="4" w:space="0" w:color="auto"/>
              <w:right w:val="nil"/>
            </w:tcBorders>
            <w:shd w:val="clear" w:color="auto" w:fill="E6E6E6"/>
            <w:vAlign w:val="center"/>
          </w:tcPr>
          <w:p w:rsidR="00194C0A" w:rsidRDefault="00194C0A" w:rsidP="007F3DC6">
            <w:pPr>
              <w:spacing w:before="40" w:after="20"/>
              <w:ind w:right="284"/>
              <w:jc w:val="right"/>
              <w:rPr>
                <w:rFonts w:ascii="Arial Narrow" w:hAnsi="Arial Narrow" w:cs="Arial"/>
                <w:sz w:val="18"/>
                <w:szCs w:val="18"/>
              </w:rPr>
            </w:pPr>
            <w:r>
              <w:rPr>
                <w:rFonts w:ascii="Arial Narrow" w:hAnsi="Arial Narrow" w:cs="Arial"/>
                <w:sz w:val="18"/>
                <w:szCs w:val="18"/>
              </w:rPr>
              <w:t>98,0</w:t>
            </w:r>
          </w:p>
        </w:tc>
        <w:tc>
          <w:tcPr>
            <w:tcW w:w="1134" w:type="dxa"/>
            <w:tcBorders>
              <w:top w:val="single" w:sz="4" w:space="0" w:color="auto"/>
              <w:left w:val="nil"/>
              <w:bottom w:val="single" w:sz="4" w:space="0" w:color="auto"/>
              <w:right w:val="nil"/>
            </w:tcBorders>
            <w:vAlign w:val="center"/>
          </w:tcPr>
          <w:p w:rsidR="00194C0A" w:rsidRDefault="00194C0A" w:rsidP="007F3DC6">
            <w:pPr>
              <w:spacing w:before="40" w:after="20"/>
              <w:ind w:right="340"/>
              <w:jc w:val="right"/>
              <w:rPr>
                <w:rFonts w:ascii="Arial Narrow" w:hAnsi="Arial Narrow" w:cs="Arial"/>
                <w:sz w:val="18"/>
                <w:szCs w:val="18"/>
              </w:rPr>
            </w:pPr>
            <w:r>
              <w:rPr>
                <w:rFonts w:ascii="Arial Narrow" w:hAnsi="Arial Narrow" w:cs="Arial"/>
                <w:sz w:val="18"/>
                <w:szCs w:val="18"/>
              </w:rPr>
              <w:t>-0,4</w:t>
            </w:r>
          </w:p>
        </w:tc>
        <w:tc>
          <w:tcPr>
            <w:tcW w:w="1276" w:type="dxa"/>
            <w:tcBorders>
              <w:top w:val="single" w:sz="4" w:space="0" w:color="auto"/>
              <w:left w:val="nil"/>
              <w:bottom w:val="single" w:sz="4" w:space="0" w:color="auto"/>
              <w:right w:val="nil"/>
            </w:tcBorders>
            <w:vAlign w:val="center"/>
          </w:tcPr>
          <w:p w:rsidR="00194C0A" w:rsidRDefault="00194C0A" w:rsidP="007F3DC6">
            <w:pPr>
              <w:spacing w:before="40" w:after="20"/>
              <w:ind w:right="397"/>
              <w:jc w:val="right"/>
              <w:rPr>
                <w:rFonts w:ascii="Arial Narrow" w:hAnsi="Arial Narrow" w:cs="Arial"/>
                <w:sz w:val="18"/>
                <w:szCs w:val="18"/>
              </w:rPr>
            </w:pPr>
            <w:r>
              <w:rPr>
                <w:rFonts w:ascii="Arial Narrow" w:hAnsi="Arial Narrow" w:cs="Arial"/>
                <w:sz w:val="18"/>
                <w:szCs w:val="18"/>
              </w:rPr>
              <w:t>-0,2</w:t>
            </w:r>
          </w:p>
        </w:tc>
      </w:tr>
      <w:tr w:rsidR="004B59F9" w:rsidRPr="00EE17F3" w:rsidTr="009E2B81">
        <w:trPr>
          <w:trHeight w:val="227"/>
        </w:trPr>
        <w:tc>
          <w:tcPr>
            <w:tcW w:w="1701" w:type="dxa"/>
            <w:tcBorders>
              <w:top w:val="single" w:sz="4" w:space="0" w:color="auto"/>
              <w:left w:val="nil"/>
              <w:bottom w:val="single" w:sz="4" w:space="0" w:color="auto"/>
              <w:right w:val="nil"/>
            </w:tcBorders>
            <w:vAlign w:val="center"/>
          </w:tcPr>
          <w:p w:rsidR="004B59F9" w:rsidRDefault="004B59F9" w:rsidP="001B765A">
            <w:pPr>
              <w:spacing w:before="40" w:after="20"/>
              <w:rPr>
                <w:rFonts w:ascii="Arial Narrow" w:hAnsi="Arial Narrow" w:cs="Arial"/>
                <w:sz w:val="18"/>
                <w:szCs w:val="18"/>
              </w:rPr>
            </w:pPr>
            <w:r>
              <w:rPr>
                <w:rFonts w:ascii="Arial Narrow" w:hAnsi="Arial Narrow" w:cs="Arial"/>
                <w:sz w:val="18"/>
                <w:szCs w:val="18"/>
              </w:rPr>
              <w:t xml:space="preserve">Marzo </w:t>
            </w:r>
          </w:p>
        </w:tc>
        <w:tc>
          <w:tcPr>
            <w:tcW w:w="1134" w:type="dxa"/>
            <w:tcBorders>
              <w:top w:val="single" w:sz="4" w:space="0" w:color="auto"/>
              <w:left w:val="nil"/>
              <w:bottom w:val="single" w:sz="4" w:space="0" w:color="auto"/>
              <w:right w:val="nil"/>
            </w:tcBorders>
            <w:shd w:val="clear" w:color="auto" w:fill="E6E6E6"/>
            <w:vAlign w:val="center"/>
          </w:tcPr>
          <w:p w:rsidR="004B59F9" w:rsidRDefault="0072495B" w:rsidP="0072495B">
            <w:pPr>
              <w:spacing w:before="40" w:after="20"/>
              <w:ind w:right="284"/>
              <w:jc w:val="right"/>
              <w:rPr>
                <w:rFonts w:ascii="Arial Narrow" w:hAnsi="Arial Narrow" w:cs="Arial"/>
                <w:sz w:val="18"/>
                <w:szCs w:val="18"/>
              </w:rPr>
            </w:pPr>
            <w:r>
              <w:rPr>
                <w:rFonts w:ascii="Arial Narrow" w:hAnsi="Arial Narrow" w:cs="Arial"/>
                <w:sz w:val="18"/>
                <w:szCs w:val="18"/>
              </w:rPr>
              <w:t>99,6</w:t>
            </w:r>
          </w:p>
        </w:tc>
        <w:tc>
          <w:tcPr>
            <w:tcW w:w="978" w:type="dxa"/>
            <w:tcBorders>
              <w:top w:val="single" w:sz="4" w:space="0" w:color="auto"/>
              <w:left w:val="nil"/>
              <w:bottom w:val="single" w:sz="4" w:space="0" w:color="auto"/>
              <w:right w:val="nil"/>
            </w:tcBorders>
            <w:vAlign w:val="center"/>
          </w:tcPr>
          <w:p w:rsidR="004B59F9" w:rsidRDefault="0072495B" w:rsidP="0072495B">
            <w:pPr>
              <w:spacing w:before="40" w:after="20"/>
              <w:ind w:right="340"/>
              <w:jc w:val="right"/>
              <w:rPr>
                <w:rFonts w:ascii="Arial Narrow" w:hAnsi="Arial Narrow" w:cs="Arial"/>
                <w:sz w:val="18"/>
                <w:szCs w:val="18"/>
              </w:rPr>
            </w:pPr>
            <w:r>
              <w:rPr>
                <w:rFonts w:ascii="Arial Narrow" w:hAnsi="Arial Narrow" w:cs="Arial"/>
                <w:sz w:val="18"/>
                <w:szCs w:val="18"/>
              </w:rPr>
              <w:t>0,2</w:t>
            </w:r>
          </w:p>
        </w:tc>
        <w:tc>
          <w:tcPr>
            <w:tcW w:w="1432" w:type="dxa"/>
            <w:tcBorders>
              <w:top w:val="single" w:sz="4" w:space="0" w:color="auto"/>
              <w:left w:val="nil"/>
              <w:bottom w:val="single" w:sz="4" w:space="0" w:color="auto"/>
              <w:right w:val="nil"/>
            </w:tcBorders>
            <w:vAlign w:val="center"/>
          </w:tcPr>
          <w:p w:rsidR="004B59F9" w:rsidRDefault="0072495B" w:rsidP="00B211EC">
            <w:pPr>
              <w:spacing w:before="40" w:after="20"/>
              <w:ind w:right="454"/>
              <w:jc w:val="right"/>
              <w:rPr>
                <w:rFonts w:ascii="Arial Narrow" w:hAnsi="Arial Narrow" w:cs="Arial"/>
                <w:sz w:val="18"/>
                <w:szCs w:val="18"/>
              </w:rPr>
            </w:pPr>
            <w:r>
              <w:rPr>
                <w:rFonts w:ascii="Arial Narrow" w:hAnsi="Arial Narrow" w:cs="Arial"/>
                <w:sz w:val="18"/>
                <w:szCs w:val="18"/>
              </w:rPr>
              <w:t>-0,2</w:t>
            </w:r>
          </w:p>
        </w:tc>
        <w:tc>
          <w:tcPr>
            <w:tcW w:w="1134" w:type="dxa"/>
            <w:tcBorders>
              <w:top w:val="single" w:sz="4" w:space="0" w:color="auto"/>
              <w:left w:val="nil"/>
              <w:bottom w:val="single" w:sz="4" w:space="0" w:color="auto"/>
              <w:right w:val="nil"/>
            </w:tcBorders>
            <w:shd w:val="clear" w:color="auto" w:fill="E6E6E6"/>
            <w:vAlign w:val="center"/>
          </w:tcPr>
          <w:p w:rsidR="004B59F9" w:rsidRDefault="0072495B" w:rsidP="00643BFD">
            <w:pPr>
              <w:spacing w:before="40" w:after="20"/>
              <w:ind w:right="284"/>
              <w:jc w:val="right"/>
              <w:rPr>
                <w:rFonts w:ascii="Arial Narrow" w:hAnsi="Arial Narrow" w:cs="Arial"/>
                <w:sz w:val="18"/>
                <w:szCs w:val="18"/>
              </w:rPr>
            </w:pPr>
            <w:r>
              <w:rPr>
                <w:rFonts w:ascii="Arial Narrow" w:hAnsi="Arial Narrow" w:cs="Arial"/>
                <w:sz w:val="18"/>
                <w:szCs w:val="18"/>
              </w:rPr>
              <w:t>100,1</w:t>
            </w:r>
          </w:p>
        </w:tc>
        <w:tc>
          <w:tcPr>
            <w:tcW w:w="1134" w:type="dxa"/>
            <w:tcBorders>
              <w:top w:val="single" w:sz="4" w:space="0" w:color="auto"/>
              <w:left w:val="nil"/>
              <w:bottom w:val="single" w:sz="4" w:space="0" w:color="auto"/>
              <w:right w:val="nil"/>
            </w:tcBorders>
            <w:vAlign w:val="center"/>
          </w:tcPr>
          <w:p w:rsidR="004B59F9" w:rsidRDefault="0072495B" w:rsidP="00B211EC">
            <w:pPr>
              <w:spacing w:before="40" w:after="20"/>
              <w:ind w:right="340"/>
              <w:jc w:val="right"/>
              <w:rPr>
                <w:rFonts w:ascii="Arial Narrow" w:hAnsi="Arial Narrow" w:cs="Arial"/>
                <w:sz w:val="18"/>
                <w:szCs w:val="18"/>
              </w:rPr>
            </w:pPr>
            <w:r>
              <w:rPr>
                <w:rFonts w:ascii="Arial Narrow" w:hAnsi="Arial Narrow" w:cs="Arial"/>
                <w:sz w:val="18"/>
                <w:szCs w:val="18"/>
              </w:rPr>
              <w:t>2,1</w:t>
            </w:r>
          </w:p>
        </w:tc>
        <w:tc>
          <w:tcPr>
            <w:tcW w:w="1276" w:type="dxa"/>
            <w:tcBorders>
              <w:top w:val="single" w:sz="4" w:space="0" w:color="auto"/>
              <w:left w:val="nil"/>
              <w:bottom w:val="single" w:sz="4" w:space="0" w:color="auto"/>
              <w:right w:val="nil"/>
            </w:tcBorders>
            <w:vAlign w:val="center"/>
          </w:tcPr>
          <w:p w:rsidR="004B59F9" w:rsidRDefault="0072495B" w:rsidP="007F3DC6">
            <w:pPr>
              <w:spacing w:before="40" w:after="20"/>
              <w:ind w:right="397"/>
              <w:jc w:val="right"/>
              <w:rPr>
                <w:rFonts w:ascii="Arial Narrow" w:hAnsi="Arial Narrow" w:cs="Arial"/>
                <w:sz w:val="18"/>
                <w:szCs w:val="18"/>
              </w:rPr>
            </w:pPr>
            <w:r>
              <w:rPr>
                <w:rFonts w:ascii="Arial Narrow" w:hAnsi="Arial Narrow" w:cs="Arial"/>
                <w:sz w:val="18"/>
                <w:szCs w:val="18"/>
              </w:rPr>
              <w:t>-0,2</w:t>
            </w:r>
          </w:p>
        </w:tc>
      </w:tr>
      <w:tr w:rsidR="001B765A" w:rsidRPr="00EE17F3" w:rsidTr="009E2B81">
        <w:trPr>
          <w:trHeight w:val="227"/>
        </w:trPr>
        <w:tc>
          <w:tcPr>
            <w:tcW w:w="1701" w:type="dxa"/>
            <w:tcBorders>
              <w:top w:val="single" w:sz="4" w:space="0" w:color="auto"/>
              <w:left w:val="nil"/>
              <w:bottom w:val="single" w:sz="4" w:space="0" w:color="auto"/>
              <w:right w:val="nil"/>
            </w:tcBorders>
            <w:vAlign w:val="center"/>
          </w:tcPr>
          <w:p w:rsidR="001B765A" w:rsidRDefault="001B765A" w:rsidP="00F02DB9">
            <w:pPr>
              <w:spacing w:before="40" w:after="20"/>
              <w:rPr>
                <w:rFonts w:ascii="Arial Narrow" w:hAnsi="Arial Narrow" w:cs="Arial"/>
                <w:sz w:val="18"/>
                <w:szCs w:val="18"/>
              </w:rPr>
            </w:pPr>
            <w:r>
              <w:rPr>
                <w:rFonts w:ascii="Arial Narrow" w:hAnsi="Arial Narrow" w:cs="Arial"/>
                <w:sz w:val="18"/>
                <w:szCs w:val="18"/>
              </w:rPr>
              <w:t xml:space="preserve">Aprile  </w:t>
            </w:r>
          </w:p>
        </w:tc>
        <w:tc>
          <w:tcPr>
            <w:tcW w:w="1134" w:type="dxa"/>
            <w:tcBorders>
              <w:top w:val="single" w:sz="4" w:space="0" w:color="auto"/>
              <w:left w:val="nil"/>
              <w:bottom w:val="single" w:sz="4" w:space="0" w:color="auto"/>
              <w:right w:val="nil"/>
            </w:tcBorders>
            <w:shd w:val="clear" w:color="auto" w:fill="E6E6E6"/>
            <w:vAlign w:val="center"/>
          </w:tcPr>
          <w:p w:rsidR="001B765A" w:rsidRDefault="00997264" w:rsidP="00643BFD">
            <w:pPr>
              <w:spacing w:before="40" w:after="20"/>
              <w:ind w:right="284"/>
              <w:jc w:val="right"/>
              <w:rPr>
                <w:rFonts w:ascii="Arial Narrow" w:hAnsi="Arial Narrow" w:cs="Arial"/>
                <w:sz w:val="18"/>
                <w:szCs w:val="18"/>
              </w:rPr>
            </w:pPr>
            <w:r>
              <w:rPr>
                <w:rFonts w:ascii="Arial Narrow" w:hAnsi="Arial Narrow" w:cs="Arial"/>
                <w:sz w:val="18"/>
                <w:szCs w:val="18"/>
              </w:rPr>
              <w:t>99</w:t>
            </w:r>
            <w:r w:rsidR="00F02DB9">
              <w:rPr>
                <w:rFonts w:ascii="Arial Narrow" w:hAnsi="Arial Narrow" w:cs="Arial"/>
                <w:sz w:val="18"/>
                <w:szCs w:val="18"/>
              </w:rPr>
              <w:t>,5</w:t>
            </w:r>
          </w:p>
        </w:tc>
        <w:tc>
          <w:tcPr>
            <w:tcW w:w="978" w:type="dxa"/>
            <w:tcBorders>
              <w:top w:val="single" w:sz="4" w:space="0" w:color="auto"/>
              <w:left w:val="nil"/>
              <w:bottom w:val="single" w:sz="4" w:space="0" w:color="auto"/>
              <w:right w:val="nil"/>
            </w:tcBorders>
            <w:vAlign w:val="center"/>
          </w:tcPr>
          <w:p w:rsidR="001B765A" w:rsidRDefault="00F02DB9" w:rsidP="00F02DB9">
            <w:pPr>
              <w:spacing w:before="40" w:after="20"/>
              <w:ind w:right="340"/>
              <w:jc w:val="right"/>
              <w:rPr>
                <w:rFonts w:ascii="Arial Narrow" w:hAnsi="Arial Narrow" w:cs="Arial"/>
                <w:sz w:val="18"/>
                <w:szCs w:val="18"/>
              </w:rPr>
            </w:pPr>
            <w:r>
              <w:rPr>
                <w:rFonts w:ascii="Arial Narrow" w:hAnsi="Arial Narrow" w:cs="Arial"/>
                <w:sz w:val="18"/>
                <w:szCs w:val="18"/>
              </w:rPr>
              <w:t>-</w:t>
            </w:r>
            <w:r w:rsidR="00997264">
              <w:rPr>
                <w:rFonts w:ascii="Arial Narrow" w:hAnsi="Arial Narrow" w:cs="Arial"/>
                <w:sz w:val="18"/>
                <w:szCs w:val="18"/>
              </w:rPr>
              <w:t>0,</w:t>
            </w:r>
            <w:r>
              <w:rPr>
                <w:rFonts w:ascii="Arial Narrow" w:hAnsi="Arial Narrow" w:cs="Arial"/>
                <w:sz w:val="18"/>
                <w:szCs w:val="18"/>
              </w:rPr>
              <w:t>1</w:t>
            </w:r>
          </w:p>
        </w:tc>
        <w:tc>
          <w:tcPr>
            <w:tcW w:w="1432" w:type="dxa"/>
            <w:tcBorders>
              <w:top w:val="single" w:sz="4" w:space="0" w:color="auto"/>
              <w:left w:val="nil"/>
              <w:bottom w:val="single" w:sz="4" w:space="0" w:color="auto"/>
              <w:right w:val="nil"/>
            </w:tcBorders>
            <w:vAlign w:val="center"/>
          </w:tcPr>
          <w:p w:rsidR="001B765A" w:rsidRDefault="00997264" w:rsidP="00B211EC">
            <w:pPr>
              <w:spacing w:before="40" w:after="20"/>
              <w:ind w:right="454"/>
              <w:jc w:val="right"/>
              <w:rPr>
                <w:rFonts w:ascii="Arial Narrow" w:hAnsi="Arial Narrow" w:cs="Arial"/>
                <w:sz w:val="18"/>
                <w:szCs w:val="18"/>
              </w:rPr>
            </w:pPr>
            <w:r>
              <w:rPr>
                <w:rFonts w:ascii="Arial Narrow" w:hAnsi="Arial Narrow" w:cs="Arial"/>
                <w:sz w:val="18"/>
                <w:szCs w:val="18"/>
              </w:rPr>
              <w:t>-0,</w:t>
            </w:r>
            <w:r w:rsidR="00F02DB9">
              <w:rPr>
                <w:rFonts w:ascii="Arial Narrow" w:hAnsi="Arial Narrow" w:cs="Arial"/>
                <w:sz w:val="18"/>
                <w:szCs w:val="18"/>
              </w:rPr>
              <w:t>5</w:t>
            </w:r>
          </w:p>
        </w:tc>
        <w:tc>
          <w:tcPr>
            <w:tcW w:w="1134" w:type="dxa"/>
            <w:tcBorders>
              <w:top w:val="single" w:sz="4" w:space="0" w:color="auto"/>
              <w:left w:val="nil"/>
              <w:bottom w:val="single" w:sz="4" w:space="0" w:color="auto"/>
              <w:right w:val="nil"/>
            </w:tcBorders>
            <w:shd w:val="clear" w:color="auto" w:fill="E6E6E6"/>
            <w:vAlign w:val="center"/>
          </w:tcPr>
          <w:p w:rsidR="001B765A" w:rsidRDefault="00997264" w:rsidP="00997264">
            <w:pPr>
              <w:spacing w:before="40" w:after="20"/>
              <w:ind w:right="284"/>
              <w:jc w:val="right"/>
              <w:rPr>
                <w:rFonts w:ascii="Arial Narrow" w:hAnsi="Arial Narrow" w:cs="Arial"/>
                <w:sz w:val="18"/>
                <w:szCs w:val="18"/>
              </w:rPr>
            </w:pPr>
            <w:r>
              <w:rPr>
                <w:rFonts w:ascii="Arial Narrow" w:hAnsi="Arial Narrow" w:cs="Arial"/>
                <w:sz w:val="18"/>
                <w:szCs w:val="18"/>
              </w:rPr>
              <w:t>100,</w:t>
            </w:r>
            <w:r w:rsidR="00F02DB9">
              <w:rPr>
                <w:rFonts w:ascii="Arial Narrow" w:hAnsi="Arial Narrow" w:cs="Arial"/>
                <w:sz w:val="18"/>
                <w:szCs w:val="18"/>
              </w:rPr>
              <w:t>3</w:t>
            </w:r>
          </w:p>
        </w:tc>
        <w:tc>
          <w:tcPr>
            <w:tcW w:w="1134" w:type="dxa"/>
            <w:tcBorders>
              <w:top w:val="single" w:sz="4" w:space="0" w:color="auto"/>
              <w:left w:val="nil"/>
              <w:bottom w:val="single" w:sz="4" w:space="0" w:color="auto"/>
              <w:right w:val="nil"/>
            </w:tcBorders>
            <w:vAlign w:val="center"/>
          </w:tcPr>
          <w:p w:rsidR="001B765A" w:rsidRDefault="00997264" w:rsidP="00B211EC">
            <w:pPr>
              <w:spacing w:before="40" w:after="20"/>
              <w:ind w:right="340"/>
              <w:jc w:val="right"/>
              <w:rPr>
                <w:rFonts w:ascii="Arial Narrow" w:hAnsi="Arial Narrow" w:cs="Arial"/>
                <w:sz w:val="18"/>
                <w:szCs w:val="18"/>
              </w:rPr>
            </w:pPr>
            <w:r>
              <w:rPr>
                <w:rFonts w:ascii="Arial Narrow" w:hAnsi="Arial Narrow" w:cs="Arial"/>
                <w:sz w:val="18"/>
                <w:szCs w:val="18"/>
              </w:rPr>
              <w:t>0,</w:t>
            </w:r>
            <w:r w:rsidR="00F02DB9">
              <w:rPr>
                <w:rFonts w:ascii="Arial Narrow" w:hAnsi="Arial Narrow" w:cs="Arial"/>
                <w:sz w:val="18"/>
                <w:szCs w:val="18"/>
              </w:rPr>
              <w:t>2</w:t>
            </w:r>
          </w:p>
        </w:tc>
        <w:tc>
          <w:tcPr>
            <w:tcW w:w="1276" w:type="dxa"/>
            <w:tcBorders>
              <w:top w:val="single" w:sz="4" w:space="0" w:color="auto"/>
              <w:left w:val="nil"/>
              <w:bottom w:val="single" w:sz="4" w:space="0" w:color="auto"/>
              <w:right w:val="nil"/>
            </w:tcBorders>
            <w:vAlign w:val="center"/>
          </w:tcPr>
          <w:p w:rsidR="001B765A" w:rsidRDefault="00997264" w:rsidP="007F3DC6">
            <w:pPr>
              <w:spacing w:before="40" w:after="20"/>
              <w:ind w:right="397"/>
              <w:jc w:val="right"/>
              <w:rPr>
                <w:rFonts w:ascii="Arial Narrow" w:hAnsi="Arial Narrow" w:cs="Arial"/>
                <w:sz w:val="18"/>
                <w:szCs w:val="18"/>
              </w:rPr>
            </w:pPr>
            <w:r>
              <w:rPr>
                <w:rFonts w:ascii="Arial Narrow" w:hAnsi="Arial Narrow" w:cs="Arial"/>
                <w:sz w:val="18"/>
                <w:szCs w:val="18"/>
              </w:rPr>
              <w:t>-0,</w:t>
            </w:r>
            <w:r w:rsidR="00F02DB9">
              <w:rPr>
                <w:rFonts w:ascii="Arial Narrow" w:hAnsi="Arial Narrow" w:cs="Arial"/>
                <w:sz w:val="18"/>
                <w:szCs w:val="18"/>
              </w:rPr>
              <w:t>4</w:t>
            </w:r>
          </w:p>
        </w:tc>
      </w:tr>
      <w:tr w:rsidR="00F02DB9" w:rsidRPr="00EE17F3" w:rsidTr="009E2B81">
        <w:trPr>
          <w:trHeight w:val="227"/>
        </w:trPr>
        <w:tc>
          <w:tcPr>
            <w:tcW w:w="1701" w:type="dxa"/>
            <w:tcBorders>
              <w:top w:val="single" w:sz="4" w:space="0" w:color="auto"/>
              <w:left w:val="nil"/>
              <w:bottom w:val="single" w:sz="4" w:space="0" w:color="auto"/>
              <w:right w:val="nil"/>
            </w:tcBorders>
            <w:vAlign w:val="center"/>
          </w:tcPr>
          <w:p w:rsidR="00F02DB9" w:rsidRDefault="00F02DB9" w:rsidP="004C2506">
            <w:pPr>
              <w:spacing w:before="40" w:after="20"/>
              <w:rPr>
                <w:rFonts w:ascii="Arial Narrow" w:hAnsi="Arial Narrow" w:cs="Arial"/>
                <w:sz w:val="18"/>
                <w:szCs w:val="18"/>
              </w:rPr>
            </w:pPr>
            <w:r>
              <w:rPr>
                <w:rFonts w:ascii="Arial Narrow" w:hAnsi="Arial Narrow" w:cs="Arial"/>
                <w:sz w:val="18"/>
                <w:szCs w:val="18"/>
              </w:rPr>
              <w:t xml:space="preserve">Maggio </w:t>
            </w:r>
          </w:p>
        </w:tc>
        <w:tc>
          <w:tcPr>
            <w:tcW w:w="1134" w:type="dxa"/>
            <w:tcBorders>
              <w:top w:val="single" w:sz="4" w:space="0" w:color="auto"/>
              <w:left w:val="nil"/>
              <w:bottom w:val="single" w:sz="4" w:space="0" w:color="auto"/>
              <w:right w:val="nil"/>
            </w:tcBorders>
            <w:shd w:val="clear" w:color="auto" w:fill="E6E6E6"/>
            <w:vAlign w:val="center"/>
          </w:tcPr>
          <w:p w:rsidR="00F02DB9" w:rsidRPr="00986F19" w:rsidRDefault="00621D3B" w:rsidP="00953206">
            <w:pPr>
              <w:spacing w:before="40" w:after="20"/>
              <w:ind w:right="284"/>
              <w:jc w:val="right"/>
              <w:rPr>
                <w:rFonts w:ascii="Arial Narrow" w:hAnsi="Arial Narrow" w:cs="Arial"/>
                <w:sz w:val="18"/>
                <w:szCs w:val="18"/>
              </w:rPr>
            </w:pPr>
            <w:r w:rsidRPr="00986F19">
              <w:rPr>
                <w:rFonts w:ascii="Arial Narrow" w:hAnsi="Arial Narrow" w:cs="Arial"/>
                <w:sz w:val="18"/>
                <w:szCs w:val="18"/>
              </w:rPr>
              <w:t>99</w:t>
            </w:r>
            <w:r w:rsidR="00953206">
              <w:rPr>
                <w:rFonts w:ascii="Arial Narrow" w:hAnsi="Arial Narrow" w:cs="Arial"/>
                <w:sz w:val="18"/>
                <w:szCs w:val="18"/>
              </w:rPr>
              <w:t>,</w:t>
            </w:r>
            <w:r w:rsidRPr="00986F19">
              <w:rPr>
                <w:rFonts w:ascii="Arial Narrow" w:hAnsi="Arial Narrow" w:cs="Arial"/>
                <w:sz w:val="18"/>
                <w:szCs w:val="18"/>
              </w:rPr>
              <w:t>8</w:t>
            </w:r>
          </w:p>
        </w:tc>
        <w:tc>
          <w:tcPr>
            <w:tcW w:w="978" w:type="dxa"/>
            <w:tcBorders>
              <w:top w:val="single" w:sz="4" w:space="0" w:color="auto"/>
              <w:left w:val="nil"/>
              <w:bottom w:val="single" w:sz="4" w:space="0" w:color="auto"/>
              <w:right w:val="nil"/>
            </w:tcBorders>
            <w:vAlign w:val="center"/>
          </w:tcPr>
          <w:p w:rsidR="00F02DB9" w:rsidRPr="00986F19" w:rsidRDefault="00621D3B" w:rsidP="00621D3B">
            <w:pPr>
              <w:spacing w:before="40" w:after="20"/>
              <w:ind w:right="340"/>
              <w:jc w:val="right"/>
              <w:rPr>
                <w:rFonts w:ascii="Arial Narrow" w:hAnsi="Arial Narrow" w:cs="Arial"/>
                <w:sz w:val="18"/>
                <w:szCs w:val="18"/>
              </w:rPr>
            </w:pPr>
            <w:r w:rsidRPr="00986F19">
              <w:rPr>
                <w:rFonts w:ascii="Arial Narrow" w:hAnsi="Arial Narrow" w:cs="Arial"/>
                <w:sz w:val="18"/>
                <w:szCs w:val="18"/>
              </w:rPr>
              <w:t>0,3</w:t>
            </w:r>
          </w:p>
        </w:tc>
        <w:tc>
          <w:tcPr>
            <w:tcW w:w="1432" w:type="dxa"/>
            <w:tcBorders>
              <w:top w:val="single" w:sz="4" w:space="0" w:color="auto"/>
              <w:left w:val="nil"/>
              <w:bottom w:val="single" w:sz="4" w:space="0" w:color="auto"/>
              <w:right w:val="nil"/>
            </w:tcBorders>
            <w:vAlign w:val="center"/>
          </w:tcPr>
          <w:p w:rsidR="00F02DB9" w:rsidRPr="00986F19" w:rsidRDefault="00621D3B" w:rsidP="00621D3B">
            <w:pPr>
              <w:spacing w:before="40" w:after="20"/>
              <w:ind w:right="454"/>
              <w:jc w:val="right"/>
              <w:rPr>
                <w:rFonts w:ascii="Arial Narrow" w:hAnsi="Arial Narrow" w:cs="Arial"/>
                <w:sz w:val="18"/>
                <w:szCs w:val="18"/>
              </w:rPr>
            </w:pPr>
            <w:r w:rsidRPr="00986F19">
              <w:rPr>
                <w:rFonts w:ascii="Arial Narrow" w:hAnsi="Arial Narrow" w:cs="Arial"/>
                <w:sz w:val="18"/>
                <w:szCs w:val="18"/>
              </w:rPr>
              <w:t>-0,3</w:t>
            </w:r>
          </w:p>
        </w:tc>
        <w:tc>
          <w:tcPr>
            <w:tcW w:w="1134" w:type="dxa"/>
            <w:tcBorders>
              <w:top w:val="single" w:sz="4" w:space="0" w:color="auto"/>
              <w:left w:val="nil"/>
              <w:bottom w:val="single" w:sz="4" w:space="0" w:color="auto"/>
              <w:right w:val="nil"/>
            </w:tcBorders>
            <w:shd w:val="clear" w:color="auto" w:fill="E6E6E6"/>
            <w:vAlign w:val="center"/>
          </w:tcPr>
          <w:p w:rsidR="00F02DB9" w:rsidRPr="00986F19" w:rsidRDefault="00621D3B" w:rsidP="00997264">
            <w:pPr>
              <w:spacing w:before="40" w:after="20"/>
              <w:ind w:right="284"/>
              <w:jc w:val="right"/>
              <w:rPr>
                <w:rFonts w:ascii="Arial Narrow" w:hAnsi="Arial Narrow" w:cs="Arial"/>
                <w:sz w:val="18"/>
                <w:szCs w:val="18"/>
              </w:rPr>
            </w:pPr>
            <w:r w:rsidRPr="00986F19">
              <w:rPr>
                <w:rFonts w:ascii="Arial Narrow" w:hAnsi="Arial Narrow" w:cs="Arial"/>
                <w:sz w:val="18"/>
                <w:szCs w:val="18"/>
              </w:rPr>
              <w:t>100,6</w:t>
            </w:r>
          </w:p>
        </w:tc>
        <w:tc>
          <w:tcPr>
            <w:tcW w:w="1134" w:type="dxa"/>
            <w:tcBorders>
              <w:top w:val="single" w:sz="4" w:space="0" w:color="auto"/>
              <w:left w:val="nil"/>
              <w:bottom w:val="single" w:sz="4" w:space="0" w:color="auto"/>
              <w:right w:val="nil"/>
            </w:tcBorders>
            <w:vAlign w:val="center"/>
          </w:tcPr>
          <w:p w:rsidR="00F02DB9" w:rsidRPr="00986F19" w:rsidRDefault="00621D3B" w:rsidP="00B211EC">
            <w:pPr>
              <w:spacing w:before="40" w:after="20"/>
              <w:ind w:right="340"/>
              <w:jc w:val="right"/>
              <w:rPr>
                <w:rFonts w:ascii="Arial Narrow" w:hAnsi="Arial Narrow" w:cs="Arial"/>
                <w:sz w:val="18"/>
                <w:szCs w:val="18"/>
              </w:rPr>
            </w:pPr>
            <w:r w:rsidRPr="00986F19">
              <w:rPr>
                <w:rFonts w:ascii="Arial Narrow" w:hAnsi="Arial Narrow" w:cs="Arial"/>
                <w:sz w:val="18"/>
                <w:szCs w:val="18"/>
              </w:rPr>
              <w:t>0,3</w:t>
            </w:r>
          </w:p>
        </w:tc>
        <w:tc>
          <w:tcPr>
            <w:tcW w:w="1276" w:type="dxa"/>
            <w:tcBorders>
              <w:top w:val="single" w:sz="4" w:space="0" w:color="auto"/>
              <w:left w:val="nil"/>
              <w:bottom w:val="single" w:sz="4" w:space="0" w:color="auto"/>
              <w:right w:val="nil"/>
            </w:tcBorders>
            <w:vAlign w:val="center"/>
          </w:tcPr>
          <w:p w:rsidR="00F02DB9" w:rsidRPr="00986F19" w:rsidRDefault="00621D3B" w:rsidP="007F3DC6">
            <w:pPr>
              <w:spacing w:before="40" w:after="20"/>
              <w:ind w:right="397"/>
              <w:jc w:val="right"/>
              <w:rPr>
                <w:rFonts w:ascii="Arial Narrow" w:hAnsi="Arial Narrow" w:cs="Arial"/>
                <w:sz w:val="18"/>
                <w:szCs w:val="18"/>
              </w:rPr>
            </w:pPr>
            <w:r w:rsidRPr="00986F19">
              <w:rPr>
                <w:rFonts w:ascii="Arial Narrow" w:hAnsi="Arial Narrow" w:cs="Arial"/>
                <w:sz w:val="18"/>
                <w:szCs w:val="18"/>
              </w:rPr>
              <w:t>-0,3</w:t>
            </w:r>
          </w:p>
        </w:tc>
      </w:tr>
      <w:tr w:rsidR="004C2506" w:rsidRPr="00EE17F3" w:rsidTr="009E2B81">
        <w:trPr>
          <w:trHeight w:val="227"/>
        </w:trPr>
        <w:tc>
          <w:tcPr>
            <w:tcW w:w="1701" w:type="dxa"/>
            <w:tcBorders>
              <w:top w:val="single" w:sz="4" w:space="0" w:color="auto"/>
              <w:left w:val="nil"/>
              <w:bottom w:val="single" w:sz="4" w:space="0" w:color="auto"/>
              <w:right w:val="nil"/>
            </w:tcBorders>
            <w:vAlign w:val="center"/>
          </w:tcPr>
          <w:p w:rsidR="004C2506" w:rsidRDefault="004C2506" w:rsidP="007C6923">
            <w:pPr>
              <w:spacing w:before="40" w:after="20"/>
              <w:rPr>
                <w:rFonts w:ascii="Arial Narrow" w:hAnsi="Arial Narrow" w:cs="Arial"/>
                <w:sz w:val="18"/>
                <w:szCs w:val="18"/>
              </w:rPr>
            </w:pPr>
            <w:r>
              <w:rPr>
                <w:rFonts w:ascii="Arial Narrow" w:hAnsi="Arial Narrow" w:cs="Arial"/>
                <w:sz w:val="18"/>
                <w:szCs w:val="18"/>
              </w:rPr>
              <w:t xml:space="preserve">Giugno (provvisorio) </w:t>
            </w:r>
          </w:p>
        </w:tc>
        <w:tc>
          <w:tcPr>
            <w:tcW w:w="1134" w:type="dxa"/>
            <w:tcBorders>
              <w:top w:val="single" w:sz="4" w:space="0" w:color="auto"/>
              <w:left w:val="nil"/>
              <w:bottom w:val="single" w:sz="4" w:space="0" w:color="auto"/>
              <w:right w:val="nil"/>
            </w:tcBorders>
            <w:shd w:val="clear" w:color="auto" w:fill="E6E6E6"/>
            <w:vAlign w:val="center"/>
          </w:tcPr>
          <w:p w:rsidR="004C2506" w:rsidRPr="00875F2D" w:rsidRDefault="00953206" w:rsidP="00643BFD">
            <w:pPr>
              <w:spacing w:before="40" w:after="20"/>
              <w:ind w:right="284"/>
              <w:jc w:val="right"/>
              <w:rPr>
                <w:rFonts w:ascii="Arial Narrow" w:hAnsi="Arial Narrow" w:cs="Arial"/>
                <w:sz w:val="18"/>
                <w:szCs w:val="18"/>
              </w:rPr>
            </w:pPr>
            <w:r w:rsidRPr="00875F2D">
              <w:rPr>
                <w:rFonts w:ascii="Arial Narrow" w:hAnsi="Arial Narrow" w:cs="Arial"/>
                <w:sz w:val="18"/>
                <w:szCs w:val="18"/>
              </w:rPr>
              <w:t>99,9</w:t>
            </w:r>
          </w:p>
        </w:tc>
        <w:tc>
          <w:tcPr>
            <w:tcW w:w="978" w:type="dxa"/>
            <w:tcBorders>
              <w:top w:val="single" w:sz="4" w:space="0" w:color="auto"/>
              <w:left w:val="nil"/>
              <w:bottom w:val="single" w:sz="4" w:space="0" w:color="auto"/>
              <w:right w:val="nil"/>
            </w:tcBorders>
            <w:vAlign w:val="center"/>
          </w:tcPr>
          <w:p w:rsidR="004C2506" w:rsidRPr="00875F2D" w:rsidRDefault="00953206" w:rsidP="00953206">
            <w:pPr>
              <w:spacing w:before="40" w:after="20"/>
              <w:ind w:right="340"/>
              <w:jc w:val="right"/>
              <w:rPr>
                <w:rFonts w:ascii="Arial Narrow" w:hAnsi="Arial Narrow" w:cs="Arial"/>
                <w:sz w:val="18"/>
                <w:szCs w:val="18"/>
              </w:rPr>
            </w:pPr>
            <w:r w:rsidRPr="00875F2D">
              <w:rPr>
                <w:rFonts w:ascii="Arial Narrow" w:hAnsi="Arial Narrow" w:cs="Arial"/>
                <w:sz w:val="18"/>
                <w:szCs w:val="18"/>
              </w:rPr>
              <w:t>0,1</w:t>
            </w:r>
          </w:p>
        </w:tc>
        <w:tc>
          <w:tcPr>
            <w:tcW w:w="1432" w:type="dxa"/>
            <w:tcBorders>
              <w:top w:val="single" w:sz="4" w:space="0" w:color="auto"/>
              <w:left w:val="nil"/>
              <w:bottom w:val="single" w:sz="4" w:space="0" w:color="auto"/>
              <w:right w:val="nil"/>
            </w:tcBorders>
            <w:vAlign w:val="center"/>
          </w:tcPr>
          <w:p w:rsidR="004C2506" w:rsidRPr="00875F2D" w:rsidRDefault="00953206" w:rsidP="00953206">
            <w:pPr>
              <w:spacing w:before="40" w:after="20"/>
              <w:ind w:right="454"/>
              <w:jc w:val="right"/>
              <w:rPr>
                <w:rFonts w:ascii="Arial Narrow" w:hAnsi="Arial Narrow" w:cs="Arial"/>
                <w:sz w:val="18"/>
                <w:szCs w:val="18"/>
              </w:rPr>
            </w:pPr>
            <w:r w:rsidRPr="00875F2D">
              <w:rPr>
                <w:rFonts w:ascii="Arial Narrow" w:hAnsi="Arial Narrow" w:cs="Arial"/>
                <w:sz w:val="18"/>
                <w:szCs w:val="18"/>
              </w:rPr>
              <w:t>-0,4</w:t>
            </w:r>
          </w:p>
        </w:tc>
        <w:tc>
          <w:tcPr>
            <w:tcW w:w="1134" w:type="dxa"/>
            <w:tcBorders>
              <w:top w:val="single" w:sz="4" w:space="0" w:color="auto"/>
              <w:left w:val="nil"/>
              <w:bottom w:val="single" w:sz="4" w:space="0" w:color="auto"/>
              <w:right w:val="nil"/>
            </w:tcBorders>
            <w:shd w:val="clear" w:color="auto" w:fill="E6E6E6"/>
            <w:vAlign w:val="center"/>
          </w:tcPr>
          <w:p w:rsidR="004C2506" w:rsidRPr="00875F2D" w:rsidRDefault="00953206" w:rsidP="00997264">
            <w:pPr>
              <w:spacing w:before="40" w:after="20"/>
              <w:ind w:right="284"/>
              <w:jc w:val="right"/>
              <w:rPr>
                <w:rFonts w:ascii="Arial Narrow" w:hAnsi="Arial Narrow" w:cs="Arial"/>
                <w:sz w:val="18"/>
                <w:szCs w:val="18"/>
              </w:rPr>
            </w:pPr>
            <w:r w:rsidRPr="00875F2D">
              <w:rPr>
                <w:rFonts w:ascii="Arial Narrow" w:hAnsi="Arial Narrow" w:cs="Arial"/>
                <w:sz w:val="18"/>
                <w:szCs w:val="18"/>
              </w:rPr>
              <w:t>100,7</w:t>
            </w:r>
          </w:p>
        </w:tc>
        <w:tc>
          <w:tcPr>
            <w:tcW w:w="1134" w:type="dxa"/>
            <w:tcBorders>
              <w:top w:val="single" w:sz="4" w:space="0" w:color="auto"/>
              <w:left w:val="nil"/>
              <w:bottom w:val="single" w:sz="4" w:space="0" w:color="auto"/>
              <w:right w:val="nil"/>
            </w:tcBorders>
            <w:vAlign w:val="center"/>
          </w:tcPr>
          <w:p w:rsidR="004C2506" w:rsidRPr="00875F2D" w:rsidRDefault="00953206" w:rsidP="00B211EC">
            <w:pPr>
              <w:spacing w:before="40" w:after="20"/>
              <w:ind w:right="340"/>
              <w:jc w:val="right"/>
              <w:rPr>
                <w:rFonts w:ascii="Arial Narrow" w:hAnsi="Arial Narrow" w:cs="Arial"/>
                <w:sz w:val="18"/>
                <w:szCs w:val="18"/>
              </w:rPr>
            </w:pPr>
            <w:r w:rsidRPr="00875F2D">
              <w:rPr>
                <w:rFonts w:ascii="Arial Narrow" w:hAnsi="Arial Narrow" w:cs="Arial"/>
                <w:sz w:val="18"/>
                <w:szCs w:val="18"/>
              </w:rPr>
              <w:t>0,1</w:t>
            </w:r>
          </w:p>
        </w:tc>
        <w:tc>
          <w:tcPr>
            <w:tcW w:w="1276" w:type="dxa"/>
            <w:tcBorders>
              <w:top w:val="single" w:sz="4" w:space="0" w:color="auto"/>
              <w:left w:val="nil"/>
              <w:bottom w:val="single" w:sz="4" w:space="0" w:color="auto"/>
              <w:right w:val="nil"/>
            </w:tcBorders>
            <w:vAlign w:val="center"/>
          </w:tcPr>
          <w:p w:rsidR="004C2506" w:rsidRPr="00875F2D" w:rsidRDefault="00953206" w:rsidP="007F3DC6">
            <w:pPr>
              <w:spacing w:before="40" w:after="20"/>
              <w:ind w:right="397"/>
              <w:jc w:val="right"/>
              <w:rPr>
                <w:rFonts w:ascii="Arial Narrow" w:hAnsi="Arial Narrow" w:cs="Arial"/>
                <w:sz w:val="18"/>
                <w:szCs w:val="18"/>
              </w:rPr>
            </w:pPr>
            <w:r w:rsidRPr="00875F2D">
              <w:rPr>
                <w:rFonts w:ascii="Arial Narrow" w:hAnsi="Arial Narrow" w:cs="Arial"/>
                <w:sz w:val="18"/>
                <w:szCs w:val="18"/>
              </w:rPr>
              <w:t>-0,3</w:t>
            </w:r>
          </w:p>
        </w:tc>
      </w:tr>
    </w:tbl>
    <w:p w:rsidR="00844071" w:rsidRDefault="0008235E">
      <w:pPr>
        <w:spacing w:before="80" w:after="120"/>
        <w:ind w:left="1886"/>
        <w:jc w:val="both"/>
        <w:rPr>
          <w:rFonts w:ascii="Arial" w:hAnsi="Arial" w:cs="Arial"/>
          <w:b/>
          <w:sz w:val="22"/>
          <w:szCs w:val="22"/>
        </w:rPr>
      </w:pPr>
      <w:r w:rsidRPr="009A7BA5">
        <w:rPr>
          <w:rFonts w:ascii="Arial Narrow" w:hAnsi="Arial Narrow" w:cs="Arial"/>
          <w:sz w:val="15"/>
          <w:szCs w:val="15"/>
        </w:rPr>
        <w:t xml:space="preserve">(a) </w:t>
      </w:r>
      <w:r w:rsidRPr="009304C8">
        <w:rPr>
          <w:rFonts w:ascii="Arial Narrow" w:hAnsi="Arial Narrow" w:cs="Arial"/>
          <w:sz w:val="15"/>
          <w:szCs w:val="15"/>
        </w:rPr>
        <w:t xml:space="preserve">le variazioni </w:t>
      </w:r>
      <w:r>
        <w:rPr>
          <w:rFonts w:ascii="Arial Narrow" w:hAnsi="Arial Narrow" w:cs="Arial"/>
          <w:sz w:val="15"/>
          <w:szCs w:val="15"/>
        </w:rPr>
        <w:t xml:space="preserve">congiunturali di </w:t>
      </w:r>
      <w:r w:rsidR="00847305">
        <w:rPr>
          <w:rFonts w:ascii="Arial Narrow" w:hAnsi="Arial Narrow" w:cs="Arial"/>
          <w:sz w:val="15"/>
          <w:szCs w:val="15"/>
        </w:rPr>
        <w:t xml:space="preserve">gennaio </w:t>
      </w:r>
      <w:r>
        <w:rPr>
          <w:rFonts w:ascii="Arial Narrow" w:hAnsi="Arial Narrow" w:cs="Arial"/>
          <w:sz w:val="15"/>
          <w:szCs w:val="15"/>
        </w:rPr>
        <w:t xml:space="preserve">e quelle </w:t>
      </w:r>
      <w:r w:rsidRPr="009304C8">
        <w:rPr>
          <w:rFonts w:ascii="Arial Narrow" w:hAnsi="Arial Narrow" w:cs="Arial"/>
          <w:sz w:val="15"/>
          <w:szCs w:val="15"/>
        </w:rPr>
        <w:t xml:space="preserve">tendenziali </w:t>
      </w:r>
      <w:r>
        <w:rPr>
          <w:rFonts w:ascii="Arial Narrow" w:hAnsi="Arial Narrow" w:cs="Arial"/>
          <w:sz w:val="15"/>
          <w:szCs w:val="15"/>
        </w:rPr>
        <w:t>dei diversi mesi del</w:t>
      </w:r>
      <w:r w:rsidRPr="009304C8">
        <w:rPr>
          <w:rFonts w:ascii="Arial Narrow" w:hAnsi="Arial Narrow" w:cs="Arial"/>
          <w:sz w:val="15"/>
          <w:szCs w:val="15"/>
        </w:rPr>
        <w:t xml:space="preserve"> 201</w:t>
      </w:r>
      <w:r>
        <w:rPr>
          <w:rFonts w:ascii="Arial Narrow" w:hAnsi="Arial Narrow" w:cs="Arial"/>
          <w:sz w:val="15"/>
          <w:szCs w:val="15"/>
        </w:rPr>
        <w:t>6</w:t>
      </w:r>
      <w:r w:rsidRPr="009304C8">
        <w:rPr>
          <w:rFonts w:ascii="Arial Narrow" w:hAnsi="Arial Narrow" w:cs="Arial"/>
          <w:sz w:val="15"/>
          <w:szCs w:val="15"/>
        </w:rPr>
        <w:t xml:space="preserve"> per gli indici NIC e FOI, con l’aggiornamento della base di riferimento all’anno 201</w:t>
      </w:r>
      <w:r>
        <w:rPr>
          <w:rFonts w:ascii="Arial Narrow" w:hAnsi="Arial Narrow" w:cs="Arial"/>
          <w:sz w:val="15"/>
          <w:szCs w:val="15"/>
        </w:rPr>
        <w:t>5</w:t>
      </w:r>
      <w:r w:rsidRPr="009304C8">
        <w:rPr>
          <w:rFonts w:ascii="Arial Narrow" w:hAnsi="Arial Narrow" w:cs="Arial"/>
          <w:sz w:val="15"/>
          <w:szCs w:val="15"/>
        </w:rPr>
        <w:t xml:space="preserve"> (base precedente </w:t>
      </w:r>
      <w:r>
        <w:rPr>
          <w:rFonts w:ascii="Arial Narrow" w:hAnsi="Arial Narrow" w:cs="Arial"/>
          <w:sz w:val="15"/>
          <w:szCs w:val="15"/>
        </w:rPr>
        <w:t>2010</w:t>
      </w:r>
      <w:r w:rsidRPr="009304C8">
        <w:rPr>
          <w:rFonts w:ascii="Arial Narrow" w:hAnsi="Arial Narrow" w:cs="Arial"/>
          <w:sz w:val="15"/>
          <w:szCs w:val="15"/>
        </w:rPr>
        <w:t>=100), sono calcolate utilizzando il coefficiente di raccordo</w:t>
      </w:r>
      <w:r>
        <w:rPr>
          <w:rFonts w:ascii="Arial Narrow" w:hAnsi="Arial Narrow" w:cs="Arial"/>
          <w:sz w:val="15"/>
          <w:szCs w:val="15"/>
        </w:rPr>
        <w:t xml:space="preserve"> (si veda la Nota metodologica alla fine del comunicato) mentre quelle dell’indice IPCA </w:t>
      </w:r>
      <w:r w:rsidRPr="00D72F92">
        <w:rPr>
          <w:rFonts w:ascii="Arial Narrow" w:hAnsi="Arial Narrow" w:cs="Arial"/>
          <w:sz w:val="15"/>
          <w:szCs w:val="15"/>
        </w:rPr>
        <w:t>(base precedente 20</w:t>
      </w:r>
      <w:r>
        <w:rPr>
          <w:rFonts w:ascii="Arial Narrow" w:hAnsi="Arial Narrow" w:cs="Arial"/>
          <w:sz w:val="15"/>
          <w:szCs w:val="15"/>
        </w:rPr>
        <w:t>05=100) sono state calcolate utilizzando indici sli</w:t>
      </w:r>
      <w:r w:rsidR="001723D7">
        <w:rPr>
          <w:rFonts w:ascii="Arial Narrow" w:hAnsi="Arial Narrow" w:cs="Arial"/>
          <w:sz w:val="15"/>
          <w:szCs w:val="15"/>
        </w:rPr>
        <w:t>t</w:t>
      </w:r>
      <w:r>
        <w:rPr>
          <w:rFonts w:ascii="Arial Narrow" w:hAnsi="Arial Narrow" w:cs="Arial"/>
          <w:sz w:val="15"/>
          <w:szCs w:val="15"/>
        </w:rPr>
        <w:t>tati nella nuova base di riferimento</w:t>
      </w:r>
      <w:r w:rsidR="008C53EB" w:rsidRPr="00D72F92">
        <w:rPr>
          <w:rFonts w:ascii="Arial Narrow" w:hAnsi="Arial Narrow" w:cs="Arial"/>
          <w:sz w:val="15"/>
          <w:szCs w:val="15"/>
        </w:rPr>
        <w:t>.</w:t>
      </w:r>
    </w:p>
    <w:p w:rsidR="00994683" w:rsidRDefault="00994683" w:rsidP="00991B1A">
      <w:pPr>
        <w:spacing w:before="0" w:after="120"/>
        <w:ind w:left="1814"/>
        <w:jc w:val="both"/>
        <w:rPr>
          <w:rFonts w:ascii="Arial" w:hAnsi="Arial" w:cs="Arial"/>
          <w:b/>
          <w:sz w:val="22"/>
          <w:szCs w:val="22"/>
        </w:rPr>
      </w:pPr>
    </w:p>
    <w:p w:rsidR="00994683" w:rsidRDefault="00994683" w:rsidP="00991B1A">
      <w:pPr>
        <w:spacing w:before="0" w:after="120"/>
        <w:ind w:left="1814"/>
        <w:jc w:val="both"/>
        <w:rPr>
          <w:rFonts w:ascii="Arial" w:hAnsi="Arial" w:cs="Arial"/>
          <w:b/>
          <w:sz w:val="22"/>
          <w:szCs w:val="22"/>
        </w:rPr>
      </w:pPr>
    </w:p>
    <w:p w:rsidR="00994683" w:rsidRDefault="00994683"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DA5FDC" w:rsidRDefault="00DA5FDC" w:rsidP="00991B1A">
      <w:pPr>
        <w:spacing w:before="0" w:after="120"/>
        <w:ind w:left="1814"/>
        <w:jc w:val="both"/>
        <w:rPr>
          <w:rFonts w:ascii="Arial" w:hAnsi="Arial" w:cs="Arial"/>
          <w:b/>
          <w:sz w:val="22"/>
          <w:szCs w:val="22"/>
        </w:rPr>
      </w:pPr>
    </w:p>
    <w:p w:rsidR="00994683" w:rsidRDefault="00994683" w:rsidP="00991B1A">
      <w:pPr>
        <w:spacing w:before="0" w:after="120"/>
        <w:ind w:left="1814"/>
        <w:jc w:val="both"/>
        <w:rPr>
          <w:rFonts w:ascii="Arial" w:hAnsi="Arial" w:cs="Arial"/>
          <w:b/>
          <w:sz w:val="22"/>
          <w:szCs w:val="22"/>
        </w:rPr>
      </w:pPr>
    </w:p>
    <w:p w:rsidR="000F4D00" w:rsidRPr="00991B1A" w:rsidRDefault="000F4D00" w:rsidP="00991B1A">
      <w:pPr>
        <w:spacing w:before="0" w:after="120"/>
        <w:ind w:left="1814"/>
        <w:jc w:val="both"/>
        <w:rPr>
          <w:rFonts w:ascii="Arial" w:hAnsi="Arial" w:cs="Arial"/>
          <w:b/>
          <w:sz w:val="22"/>
          <w:szCs w:val="22"/>
        </w:rPr>
      </w:pPr>
      <w:r w:rsidRPr="00991B1A">
        <w:rPr>
          <w:rFonts w:ascii="Arial" w:hAnsi="Arial" w:cs="Arial"/>
          <w:b/>
          <w:sz w:val="22"/>
          <w:szCs w:val="22"/>
        </w:rPr>
        <w:t>Glossario</w:t>
      </w:r>
    </w:p>
    <w:p w:rsidR="000F4D00" w:rsidRPr="00700017" w:rsidRDefault="000F4D00" w:rsidP="00EB1C99">
      <w:pPr>
        <w:pStyle w:val="Corpotesto"/>
        <w:spacing w:before="240" w:after="120" w:line="240" w:lineRule="auto"/>
        <w:ind w:left="1843"/>
        <w:jc w:val="both"/>
        <w:rPr>
          <w:rFonts w:ascii="Arial" w:hAnsi="Arial" w:cs="Arial"/>
          <w:b/>
          <w:bCs/>
        </w:rPr>
      </w:pPr>
      <w:r w:rsidRPr="00700017">
        <w:rPr>
          <w:rFonts w:ascii="Arial" w:hAnsi="Arial" w:cs="Arial"/>
          <w:b/>
          <w:bCs/>
        </w:rPr>
        <w:t xml:space="preserve">Altri beni: </w:t>
      </w:r>
      <w:r w:rsidRPr="00700017">
        <w:rPr>
          <w:rFonts w:ascii="Arial" w:hAnsi="Arial" w:cs="Arial"/>
          <w:bCs/>
        </w:rPr>
        <w:t>comprendono i beni di consumo ad esclusione dei beni alimentari, dei beni energetici e dei tabacchi</w:t>
      </w:r>
      <w:r w:rsidR="0080434C">
        <w:rPr>
          <w:rFonts w:ascii="Arial" w:hAnsi="Arial" w:cs="Arial"/>
          <w:bCs/>
        </w:rPr>
        <w:t>,</w:t>
      </w:r>
      <w:r w:rsidRPr="00700017">
        <w:rPr>
          <w:rFonts w:ascii="Arial" w:hAnsi="Arial" w:cs="Arial"/>
          <w:b/>
          <w:bCs/>
        </w:rPr>
        <w:t xml:space="preserve">  </w:t>
      </w:r>
    </w:p>
    <w:p w:rsidR="000F4D00" w:rsidRPr="00700017" w:rsidRDefault="000F4D00" w:rsidP="00850839">
      <w:pPr>
        <w:pStyle w:val="Corpotesto"/>
        <w:spacing w:after="120" w:line="240" w:lineRule="auto"/>
        <w:ind w:left="1843"/>
        <w:jc w:val="both"/>
        <w:rPr>
          <w:rFonts w:ascii="Arial" w:hAnsi="Arial" w:cs="Arial"/>
          <w:bCs/>
        </w:rPr>
      </w:pPr>
      <w:r w:rsidRPr="00700017">
        <w:rPr>
          <w:rFonts w:ascii="Arial" w:hAnsi="Arial" w:cs="Arial"/>
          <w:b/>
          <w:bCs/>
        </w:rPr>
        <w:t>Beni alimentari</w:t>
      </w:r>
      <w:r w:rsidRPr="00700017">
        <w:rPr>
          <w:rFonts w:ascii="Arial" w:hAnsi="Arial" w:cs="Arial"/>
          <w:bCs/>
        </w:rPr>
        <w:t>: comprendono oltre ai generi alimentari (come, ad esempio, il pane, la carne, i formaggi) le bevande analcoliche e quelle alcoliche</w:t>
      </w:r>
      <w:r w:rsidR="0080434C">
        <w:rPr>
          <w:rFonts w:ascii="Arial" w:hAnsi="Arial" w:cs="Arial"/>
          <w:bCs/>
        </w:rPr>
        <w:t>,</w:t>
      </w:r>
    </w:p>
    <w:p w:rsidR="000F4D00" w:rsidRDefault="000F4D00" w:rsidP="00850839">
      <w:pPr>
        <w:pStyle w:val="Corpotesto"/>
        <w:spacing w:after="120" w:line="240" w:lineRule="auto"/>
        <w:ind w:left="1843"/>
        <w:jc w:val="both"/>
        <w:rPr>
          <w:rFonts w:ascii="Arial" w:hAnsi="Arial" w:cs="Arial"/>
          <w:bCs/>
        </w:rPr>
      </w:pPr>
      <w:r w:rsidRPr="00700017">
        <w:rPr>
          <w:rFonts w:ascii="Arial" w:hAnsi="Arial" w:cs="Arial"/>
          <w:bCs/>
        </w:rPr>
        <w:t xml:space="preserve">Si definiscono </w:t>
      </w:r>
      <w:r w:rsidRPr="00700017">
        <w:rPr>
          <w:rFonts w:ascii="Arial" w:hAnsi="Arial" w:cs="Arial"/>
          <w:bCs/>
          <w:i/>
        </w:rPr>
        <w:t>lavorati</w:t>
      </w:r>
      <w:r w:rsidRPr="00700017">
        <w:rPr>
          <w:rFonts w:ascii="Arial" w:hAnsi="Arial" w:cs="Arial"/>
          <w:bCs/>
        </w:rPr>
        <w:t xml:space="preserve"> i beni alimentari destinati al consumo finale che sono il risultato di un processo di trasformazione industriale (come i succhi di frutta, gli insaccati, i prodotti surgelati)</w:t>
      </w:r>
      <w:r w:rsidR="0080434C">
        <w:rPr>
          <w:rFonts w:ascii="Arial" w:hAnsi="Arial" w:cs="Arial"/>
          <w:bCs/>
        </w:rPr>
        <w:t>,</w:t>
      </w:r>
      <w:r w:rsidRPr="00700017">
        <w:rPr>
          <w:rFonts w:ascii="Arial" w:hAnsi="Arial" w:cs="Arial"/>
          <w:bCs/>
        </w:rPr>
        <w:t xml:space="preserve"> Si dicono </w:t>
      </w:r>
      <w:r w:rsidRPr="00700017">
        <w:rPr>
          <w:rFonts w:ascii="Arial" w:hAnsi="Arial" w:cs="Arial"/>
          <w:bCs/>
          <w:i/>
        </w:rPr>
        <w:t>non lavorati</w:t>
      </w:r>
      <w:r w:rsidRPr="00700017">
        <w:rPr>
          <w:rFonts w:ascii="Arial" w:hAnsi="Arial" w:cs="Arial"/>
          <w:bCs/>
        </w:rPr>
        <w:t xml:space="preserve"> i beni alimentari non trasformati (carne fresca, pesce fresco, frutta e verdura fresca)</w:t>
      </w:r>
      <w:r w:rsidR="0080434C">
        <w:rPr>
          <w:rFonts w:ascii="Arial" w:hAnsi="Arial" w:cs="Arial"/>
          <w:bCs/>
        </w:rPr>
        <w:t>,</w:t>
      </w:r>
    </w:p>
    <w:p w:rsidR="004A6663" w:rsidRPr="00700017" w:rsidRDefault="004A6663" w:rsidP="00850839">
      <w:pPr>
        <w:pStyle w:val="Corpotesto"/>
        <w:spacing w:after="120" w:line="240" w:lineRule="auto"/>
        <w:ind w:left="1843"/>
        <w:jc w:val="both"/>
        <w:rPr>
          <w:rFonts w:ascii="Arial" w:hAnsi="Arial" w:cs="Arial"/>
          <w:bCs/>
        </w:rPr>
      </w:pPr>
      <w:r w:rsidRPr="005A023F">
        <w:rPr>
          <w:rFonts w:ascii="Arial" w:hAnsi="Arial" w:cs="Arial"/>
          <w:b/>
          <w:bCs/>
        </w:rPr>
        <w:t>Beni alimentari, per la cura della casa e della persona</w:t>
      </w:r>
      <w:r>
        <w:rPr>
          <w:rFonts w:ascii="Arial" w:hAnsi="Arial" w:cs="Arial"/>
          <w:bCs/>
        </w:rPr>
        <w:t>: includono</w:t>
      </w:r>
      <w:r w:rsidR="005A023F">
        <w:rPr>
          <w:rFonts w:ascii="Arial" w:hAnsi="Arial" w:cs="Arial"/>
          <w:bCs/>
        </w:rPr>
        <w:t>, oltre a</w:t>
      </w:r>
      <w:r>
        <w:rPr>
          <w:rFonts w:ascii="Arial" w:hAnsi="Arial" w:cs="Arial"/>
          <w:bCs/>
        </w:rPr>
        <w:t>i beni alimentari</w:t>
      </w:r>
      <w:r w:rsidR="005A023F">
        <w:rPr>
          <w:rFonts w:ascii="Arial" w:hAnsi="Arial" w:cs="Arial"/>
          <w:bCs/>
        </w:rPr>
        <w:t>, i beni per la pulizia e la manutenzione ordinaria della casa e i beni per l’igiene personale e prodotti di bellezza</w:t>
      </w:r>
      <w:r w:rsidR="0080434C">
        <w:rPr>
          <w:rFonts w:ascii="Arial" w:hAnsi="Arial" w:cs="Arial"/>
          <w:bCs/>
        </w:rPr>
        <w:t>,</w:t>
      </w:r>
      <w:r w:rsidR="005A023F">
        <w:rPr>
          <w:rFonts w:ascii="Arial" w:hAnsi="Arial" w:cs="Arial"/>
          <w:bCs/>
        </w:rPr>
        <w:t xml:space="preserve"> </w:t>
      </w:r>
      <w:r>
        <w:rPr>
          <w:rFonts w:ascii="Arial" w:hAnsi="Arial" w:cs="Arial"/>
          <w:bCs/>
        </w:rPr>
        <w:t xml:space="preserve"> </w:t>
      </w:r>
    </w:p>
    <w:p w:rsidR="000F4D00" w:rsidRPr="00700017" w:rsidRDefault="000F4D00" w:rsidP="00850839">
      <w:pPr>
        <w:pStyle w:val="Corpotesto"/>
        <w:spacing w:after="120" w:line="240" w:lineRule="auto"/>
        <w:ind w:left="1843"/>
        <w:jc w:val="both"/>
        <w:rPr>
          <w:rFonts w:ascii="Arial" w:hAnsi="Arial" w:cs="Arial"/>
          <w:b/>
          <w:bCs/>
        </w:rPr>
      </w:pPr>
      <w:r w:rsidRPr="00700017">
        <w:rPr>
          <w:rFonts w:ascii="Arial" w:hAnsi="Arial" w:cs="Arial"/>
          <w:b/>
          <w:bCs/>
        </w:rPr>
        <w:t>Beni durevoli</w:t>
      </w:r>
      <w:r w:rsidRPr="00700017">
        <w:rPr>
          <w:rFonts w:ascii="Arial" w:hAnsi="Arial" w:cs="Arial"/>
          <w:bCs/>
        </w:rPr>
        <w:t>: includono le autovetture, gli articoli di arredamento, gli elettrodomestici</w:t>
      </w:r>
      <w:r w:rsidR="0080434C">
        <w:rPr>
          <w:rFonts w:ascii="Arial" w:hAnsi="Arial" w:cs="Arial"/>
          <w:bCs/>
        </w:rPr>
        <w:t>,</w:t>
      </w:r>
    </w:p>
    <w:p w:rsidR="000F4D00" w:rsidRPr="00700017" w:rsidRDefault="000F4D00" w:rsidP="00850839">
      <w:pPr>
        <w:pStyle w:val="Corpotesto"/>
        <w:spacing w:after="120" w:line="240" w:lineRule="auto"/>
        <w:ind w:left="1843"/>
        <w:jc w:val="both"/>
        <w:rPr>
          <w:rFonts w:ascii="Arial" w:hAnsi="Arial" w:cs="Arial"/>
          <w:b/>
          <w:bCs/>
        </w:rPr>
      </w:pPr>
      <w:r w:rsidRPr="00700017">
        <w:rPr>
          <w:rFonts w:ascii="Arial" w:hAnsi="Arial" w:cs="Arial"/>
          <w:b/>
          <w:bCs/>
        </w:rPr>
        <w:t>Beni non durevoli</w:t>
      </w:r>
      <w:r w:rsidRPr="00700017">
        <w:rPr>
          <w:rFonts w:ascii="Arial" w:hAnsi="Arial" w:cs="Arial"/>
          <w:bCs/>
        </w:rPr>
        <w:t>: comprendono i detergenti per la pulizia della casa, i prodotti per la cura della persona, i medicinali</w:t>
      </w:r>
      <w:r w:rsidR="0080434C">
        <w:rPr>
          <w:rFonts w:ascii="Arial" w:hAnsi="Arial" w:cs="Arial"/>
          <w:bCs/>
        </w:rPr>
        <w:t>,</w:t>
      </w:r>
    </w:p>
    <w:p w:rsidR="000F4D00" w:rsidRPr="00700017" w:rsidRDefault="000F4D00" w:rsidP="00850839">
      <w:pPr>
        <w:pStyle w:val="Corpotesto"/>
        <w:spacing w:after="120" w:line="240" w:lineRule="auto"/>
        <w:ind w:left="1843"/>
        <w:jc w:val="both"/>
        <w:rPr>
          <w:rFonts w:ascii="Arial" w:hAnsi="Arial" w:cs="Arial"/>
          <w:b/>
          <w:bCs/>
        </w:rPr>
      </w:pPr>
      <w:r w:rsidRPr="00700017">
        <w:rPr>
          <w:rFonts w:ascii="Arial" w:hAnsi="Arial" w:cs="Arial"/>
          <w:b/>
          <w:bCs/>
        </w:rPr>
        <w:t>Beni semidurevoli</w:t>
      </w:r>
      <w:r w:rsidRPr="00700017">
        <w:rPr>
          <w:rFonts w:ascii="Arial" w:hAnsi="Arial" w:cs="Arial"/>
          <w:bCs/>
        </w:rPr>
        <w:t>: comprendono i capi di abbigliamento, le calzature, i libri</w:t>
      </w:r>
      <w:r w:rsidR="0080434C">
        <w:rPr>
          <w:rFonts w:ascii="Arial" w:hAnsi="Arial" w:cs="Arial"/>
          <w:bCs/>
        </w:rPr>
        <w:t>,</w:t>
      </w:r>
      <w:r w:rsidRPr="00700017">
        <w:rPr>
          <w:rFonts w:ascii="Arial" w:hAnsi="Arial" w:cs="Arial"/>
          <w:b/>
          <w:bCs/>
        </w:rPr>
        <w:t xml:space="preserve"> </w:t>
      </w:r>
    </w:p>
    <w:p w:rsidR="000F4D00" w:rsidRPr="00700017" w:rsidRDefault="000F4D00" w:rsidP="00850839">
      <w:pPr>
        <w:pStyle w:val="Corpotesto"/>
        <w:spacing w:after="120" w:line="240" w:lineRule="auto"/>
        <w:ind w:left="1843"/>
        <w:jc w:val="both"/>
        <w:rPr>
          <w:rFonts w:ascii="Arial" w:hAnsi="Arial" w:cs="Arial"/>
          <w:bCs/>
        </w:rPr>
      </w:pPr>
      <w:r w:rsidRPr="00700017">
        <w:rPr>
          <w:rFonts w:ascii="Arial" w:hAnsi="Arial" w:cs="Arial"/>
          <w:b/>
          <w:bCs/>
        </w:rPr>
        <w:t>Beni energetici regolamentati</w:t>
      </w:r>
      <w:r w:rsidRPr="00700017">
        <w:rPr>
          <w:rFonts w:ascii="Arial" w:hAnsi="Arial" w:cs="Arial"/>
          <w:bCs/>
        </w:rPr>
        <w:t>: includono le tariffe per l’energia elettrica e il gas di rete per uso domestico</w:t>
      </w:r>
      <w:r w:rsidR="0080434C">
        <w:rPr>
          <w:rFonts w:ascii="Arial" w:hAnsi="Arial" w:cs="Arial"/>
          <w:bCs/>
        </w:rPr>
        <w:t>,</w:t>
      </w:r>
    </w:p>
    <w:p w:rsidR="000F4D00" w:rsidRPr="00700017" w:rsidRDefault="000F4D00" w:rsidP="00850839">
      <w:pPr>
        <w:pStyle w:val="Corpotesto"/>
        <w:spacing w:after="120" w:line="240" w:lineRule="auto"/>
        <w:ind w:left="1843"/>
        <w:jc w:val="both"/>
        <w:rPr>
          <w:rFonts w:ascii="Arial" w:hAnsi="Arial" w:cs="Arial"/>
          <w:bCs/>
        </w:rPr>
      </w:pPr>
      <w:r w:rsidRPr="00700017">
        <w:rPr>
          <w:rFonts w:ascii="Arial" w:hAnsi="Arial" w:cs="Arial"/>
          <w:b/>
          <w:bCs/>
        </w:rPr>
        <w:t>Beni energetici non regolamentati</w:t>
      </w:r>
      <w:r w:rsidRPr="00700017">
        <w:rPr>
          <w:rFonts w:ascii="Arial" w:hAnsi="Arial" w:cs="Arial"/>
          <w:bCs/>
        </w:rPr>
        <w:t>: comprendono i carburanti per gli autoveicoli</w:t>
      </w:r>
      <w:r>
        <w:rPr>
          <w:rFonts w:ascii="Arial" w:hAnsi="Arial" w:cs="Arial"/>
          <w:bCs/>
        </w:rPr>
        <w:t>,</w:t>
      </w:r>
      <w:r w:rsidRPr="00700017">
        <w:rPr>
          <w:rFonts w:ascii="Arial" w:hAnsi="Arial" w:cs="Arial"/>
          <w:bCs/>
        </w:rPr>
        <w:t xml:space="preserve"> i lubrificanti</w:t>
      </w:r>
      <w:r>
        <w:rPr>
          <w:rFonts w:ascii="Arial" w:hAnsi="Arial" w:cs="Arial"/>
          <w:bCs/>
        </w:rPr>
        <w:t xml:space="preserve"> e i combustibili per uso domestico non regolamentati</w:t>
      </w:r>
      <w:r w:rsidR="0080434C">
        <w:rPr>
          <w:rFonts w:ascii="Arial" w:hAnsi="Arial" w:cs="Arial"/>
          <w:bCs/>
        </w:rPr>
        <w:t>,</w:t>
      </w:r>
      <w:r w:rsidRPr="00700017">
        <w:rPr>
          <w:rFonts w:ascii="Arial" w:hAnsi="Arial" w:cs="Arial"/>
          <w:bCs/>
        </w:rPr>
        <w:t xml:space="preserve"> </w:t>
      </w:r>
    </w:p>
    <w:p w:rsidR="000F4D00" w:rsidRPr="00700017" w:rsidRDefault="000F4D00" w:rsidP="00850839">
      <w:pPr>
        <w:pStyle w:val="Corpotesto"/>
        <w:spacing w:after="120" w:line="240" w:lineRule="auto"/>
        <w:ind w:left="1843"/>
        <w:jc w:val="both"/>
        <w:rPr>
          <w:rFonts w:ascii="Arial" w:hAnsi="Arial" w:cs="Arial"/>
          <w:bCs/>
        </w:rPr>
      </w:pPr>
      <w:r w:rsidRPr="00700017">
        <w:rPr>
          <w:rFonts w:ascii="Arial" w:hAnsi="Arial" w:cs="Arial"/>
          <w:b/>
          <w:bCs/>
        </w:rPr>
        <w:t>COICOP</w:t>
      </w:r>
      <w:r w:rsidRPr="00700017">
        <w:rPr>
          <w:rFonts w:ascii="Arial" w:hAnsi="Arial" w:cs="Arial"/>
          <w:bCs/>
        </w:rPr>
        <w:t xml:space="preserve">: </w:t>
      </w:r>
      <w:r>
        <w:rPr>
          <w:rFonts w:ascii="Arial" w:hAnsi="Arial" w:cs="Arial"/>
          <w:bCs/>
        </w:rPr>
        <w:t>c</w:t>
      </w:r>
      <w:r w:rsidRPr="00700017">
        <w:rPr>
          <w:rFonts w:ascii="Arial" w:hAnsi="Arial" w:cs="Arial"/>
          <w:bCs/>
        </w:rPr>
        <w:t>lassificazione dei consumi individuali secondo l’utilizzo finale</w:t>
      </w:r>
      <w:r w:rsidR="0080434C">
        <w:rPr>
          <w:rFonts w:ascii="Arial" w:hAnsi="Arial" w:cs="Arial"/>
          <w:bCs/>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Componente di fondo</w:t>
      </w:r>
      <w:r w:rsidRPr="00700017">
        <w:rPr>
          <w:rFonts w:ascii="Arial" w:hAnsi="Arial" w:cs="Arial"/>
        </w:rPr>
        <w:t>: viene calcolata escludendo i beni alimentari non lavorati e i beni energetici</w:t>
      </w:r>
      <w:r w:rsidR="0080434C">
        <w:rPr>
          <w:rFonts w:ascii="Arial" w:hAnsi="Arial" w:cs="Arial"/>
        </w:rPr>
        <w:t>,</w:t>
      </w:r>
      <w:r w:rsidRPr="00700017">
        <w:rPr>
          <w:rFonts w:ascii="Arial" w:hAnsi="Arial" w:cs="Arial"/>
        </w:rPr>
        <w:t xml:space="preserve"> </w:t>
      </w:r>
    </w:p>
    <w:p w:rsidR="000F4D00" w:rsidRPr="00700017" w:rsidRDefault="000F4D00" w:rsidP="00850839">
      <w:pPr>
        <w:pStyle w:val="Corpotesto"/>
        <w:spacing w:after="120" w:line="240" w:lineRule="auto"/>
        <w:ind w:left="1843"/>
        <w:jc w:val="both"/>
        <w:rPr>
          <w:rFonts w:ascii="Arial" w:hAnsi="Arial" w:cs="Arial"/>
          <w:bCs/>
        </w:rPr>
      </w:pPr>
      <w:r w:rsidRPr="00A7565B">
        <w:rPr>
          <w:rFonts w:ascii="Arial" w:hAnsi="Arial" w:cs="Arial"/>
          <w:b/>
          <w:bCs/>
        </w:rPr>
        <w:t>Inflazione acquisita</w:t>
      </w:r>
      <w:r w:rsidRPr="00700017">
        <w:rPr>
          <w:rFonts w:ascii="Arial" w:hAnsi="Arial" w:cs="Arial"/>
          <w:bCs/>
        </w:rPr>
        <w:t>: rappresenta la variazione media dell’indice nell’anno indicato, che si avrebbe ipotizzando che l’indice stesso rimanga al medesimo livello dell’ultimo dato mensile disponibile nella restante parte dell’anno</w:t>
      </w:r>
      <w:r w:rsidR="0080434C">
        <w:rPr>
          <w:rFonts w:ascii="Arial" w:hAnsi="Arial" w:cs="Arial"/>
          <w:bCs/>
        </w:rPr>
        <w:t>,</w:t>
      </w:r>
      <w:r w:rsidRPr="00700017">
        <w:rPr>
          <w:rFonts w:ascii="Arial" w:hAnsi="Arial" w:cs="Arial"/>
          <w:bCs/>
        </w:rPr>
        <w:t xml:space="preserve"> </w:t>
      </w:r>
    </w:p>
    <w:p w:rsidR="000F4D00" w:rsidRDefault="000F4D00" w:rsidP="00850839">
      <w:pPr>
        <w:pStyle w:val="Corpotesto"/>
        <w:spacing w:after="120" w:line="240" w:lineRule="auto"/>
        <w:ind w:left="1843"/>
        <w:jc w:val="both"/>
        <w:rPr>
          <w:rFonts w:ascii="Arial" w:hAnsi="Arial" w:cs="Arial"/>
          <w:bCs/>
        </w:rPr>
      </w:pPr>
      <w:r w:rsidRPr="00700017">
        <w:rPr>
          <w:rFonts w:ascii="Arial" w:hAnsi="Arial" w:cs="Arial"/>
          <w:b/>
          <w:bCs/>
        </w:rPr>
        <w:t>IPCA</w:t>
      </w:r>
      <w:r w:rsidRPr="00700017">
        <w:rPr>
          <w:rFonts w:ascii="Arial" w:hAnsi="Arial" w:cs="Arial"/>
          <w:bCs/>
        </w:rPr>
        <w:t>: indice armonizzato dei prezzi al consumo per i Paesi dell’Unione europea</w:t>
      </w:r>
      <w:r w:rsidR="0080434C">
        <w:rPr>
          <w:rFonts w:ascii="Arial" w:hAnsi="Arial" w:cs="Arial"/>
          <w:bCs/>
        </w:rPr>
        <w:t>,</w:t>
      </w:r>
    </w:p>
    <w:p w:rsidR="000F4D00" w:rsidRDefault="000F4D00" w:rsidP="00850839">
      <w:pPr>
        <w:pStyle w:val="Corpotesto"/>
        <w:spacing w:after="120" w:line="240" w:lineRule="auto"/>
        <w:ind w:left="1843"/>
        <w:jc w:val="both"/>
        <w:rPr>
          <w:rFonts w:ascii="Arial" w:hAnsi="Arial" w:cs="Arial"/>
          <w:bCs/>
        </w:rPr>
      </w:pPr>
      <w:r w:rsidRPr="00970FBB">
        <w:rPr>
          <w:rFonts w:ascii="Arial" w:hAnsi="Arial" w:cs="Arial"/>
          <w:b/>
          <w:bCs/>
        </w:rPr>
        <w:t>IPCA-AS</w:t>
      </w:r>
      <w:r>
        <w:rPr>
          <w:rFonts w:ascii="Arial" w:hAnsi="Arial" w:cs="Arial"/>
          <w:bCs/>
        </w:rPr>
        <w:t>: indici armonizzati dei prezzi al consumo per aggregati speciali</w:t>
      </w:r>
      <w:r w:rsidR="0080434C">
        <w:rPr>
          <w:rFonts w:ascii="Arial" w:hAnsi="Arial" w:cs="Arial"/>
          <w:bCs/>
        </w:rPr>
        <w:t>,</w:t>
      </w:r>
      <w:r>
        <w:rPr>
          <w:rFonts w:ascii="Arial" w:hAnsi="Arial" w:cs="Arial"/>
          <w:bCs/>
        </w:rPr>
        <w:t xml:space="preserve"> Sono indicatori costruiti secondo uno schema classificatorio alternativo alla COICOP-IPCA e diverso da quello utilizzato per gli indici NIC per tipologia di prodotto</w:t>
      </w:r>
      <w:r w:rsidR="0080434C">
        <w:rPr>
          <w:rFonts w:ascii="Arial" w:hAnsi="Arial" w:cs="Arial"/>
          <w:bCs/>
        </w:rPr>
        <w:t>,</w:t>
      </w:r>
      <w:r>
        <w:rPr>
          <w:rFonts w:ascii="Arial" w:hAnsi="Arial" w:cs="Arial"/>
          <w:bCs/>
        </w:rPr>
        <w:t xml:space="preserve"> Lo schema di classificazione e il metodo di calcolo sono comuni a quelli </w:t>
      </w:r>
      <w:r>
        <w:rPr>
          <w:rFonts w:ascii="Arial" w:hAnsi="Arial" w:cs="Arial"/>
        </w:rPr>
        <w:t>uti</w:t>
      </w:r>
      <w:r w:rsidRPr="006B4C57">
        <w:rPr>
          <w:rFonts w:ascii="Arial" w:hAnsi="Arial" w:cs="Arial"/>
        </w:rPr>
        <w:t>lizzat</w:t>
      </w:r>
      <w:r>
        <w:rPr>
          <w:rFonts w:ascii="Arial" w:hAnsi="Arial" w:cs="Arial"/>
        </w:rPr>
        <w:t>i</w:t>
      </w:r>
      <w:r w:rsidRPr="006B4C57">
        <w:rPr>
          <w:rFonts w:ascii="Arial" w:hAnsi="Arial" w:cs="Arial"/>
        </w:rPr>
        <w:t xml:space="preserve"> da</w:t>
      </w:r>
      <w:r>
        <w:rPr>
          <w:rFonts w:ascii="Arial" w:hAnsi="Arial" w:cs="Arial"/>
        </w:rPr>
        <w:t xml:space="preserve"> </w:t>
      </w:r>
      <w:r w:rsidRPr="006B4C57">
        <w:rPr>
          <w:rFonts w:ascii="Arial" w:hAnsi="Arial" w:cs="Arial"/>
        </w:rPr>
        <w:t>Eurostat</w:t>
      </w:r>
      <w:r w:rsidR="0080434C">
        <w:rPr>
          <w:rFonts w:ascii="Arial" w:hAnsi="Arial" w:cs="Arial"/>
        </w:rPr>
        <w:t>,</w:t>
      </w:r>
      <w:r>
        <w:rPr>
          <w:rFonts w:ascii="Arial" w:hAnsi="Arial" w:cs="Arial"/>
          <w:bCs/>
        </w:rPr>
        <w:t xml:space="preserve"> </w:t>
      </w:r>
    </w:p>
    <w:p w:rsidR="000F4D00" w:rsidRPr="00700017" w:rsidRDefault="000F4D00" w:rsidP="00850839">
      <w:pPr>
        <w:pStyle w:val="Corpotesto"/>
        <w:spacing w:after="120" w:line="240" w:lineRule="auto"/>
        <w:ind w:left="1843"/>
        <w:jc w:val="both"/>
        <w:rPr>
          <w:rFonts w:ascii="Arial" w:hAnsi="Arial" w:cs="Arial"/>
        </w:rPr>
      </w:pPr>
      <w:r w:rsidRPr="00700017">
        <w:rPr>
          <w:rFonts w:ascii="Arial" w:hAnsi="Arial" w:cs="Arial"/>
          <w:b/>
        </w:rPr>
        <w:t>NIC</w:t>
      </w:r>
      <w:r w:rsidRPr="00700017">
        <w:rPr>
          <w:rFonts w:ascii="Arial" w:hAnsi="Arial" w:cs="Arial"/>
        </w:rPr>
        <w:t>: indice nazionale dei prezzi al consumo per l’intera collettività</w:t>
      </w:r>
      <w:r w:rsidR="0080434C">
        <w:rPr>
          <w:rFonts w:ascii="Arial" w:hAnsi="Arial" w:cs="Arial"/>
        </w:rPr>
        <w:t>,</w:t>
      </w:r>
    </w:p>
    <w:p w:rsidR="000F4D00" w:rsidRPr="00700017" w:rsidRDefault="000F4D00" w:rsidP="00850839">
      <w:pPr>
        <w:pStyle w:val="Corpotesto"/>
        <w:spacing w:after="120" w:line="240" w:lineRule="auto"/>
        <w:ind w:left="1843"/>
        <w:jc w:val="both"/>
        <w:rPr>
          <w:rFonts w:ascii="Arial" w:hAnsi="Arial" w:cs="Arial"/>
        </w:rPr>
      </w:pPr>
      <w:r w:rsidRPr="00700017">
        <w:rPr>
          <w:rFonts w:ascii="Arial" w:hAnsi="Arial" w:cs="Arial"/>
          <w:b/>
        </w:rPr>
        <w:t>Prodotti ad alta frequenza di acquisto</w:t>
      </w:r>
      <w:r w:rsidRPr="00700017">
        <w:rPr>
          <w:rFonts w:ascii="Arial" w:hAnsi="Arial" w:cs="Arial"/>
        </w:rPr>
        <w:t>: includono, oltre ai generi alimentari, le bevande alcoliche e analcoliche, i tabacchi, le spese per l’affitto, i beni non durevoli per la casa, i servizi per la pulizia e manutenzione della casa, i carburanti, i trasporti urbani, i giornali e i periodici, i servizi di ristorazione, le spese di assistenza</w:t>
      </w:r>
      <w:r w:rsidR="0080434C">
        <w:rPr>
          <w:rFonts w:ascii="Arial" w:hAnsi="Arial" w:cs="Arial"/>
        </w:rPr>
        <w:t>,</w:t>
      </w:r>
    </w:p>
    <w:p w:rsidR="000F4D00" w:rsidRPr="00700017" w:rsidRDefault="000F4D00" w:rsidP="00850839">
      <w:pPr>
        <w:spacing w:before="0" w:after="120"/>
        <w:ind w:left="1843" w:right="38"/>
        <w:jc w:val="both"/>
        <w:rPr>
          <w:rFonts w:ascii="Arial" w:hAnsi="Arial" w:cs="Arial"/>
        </w:rPr>
      </w:pPr>
      <w:r w:rsidRPr="00700017">
        <w:rPr>
          <w:rFonts w:ascii="Arial" w:hAnsi="Arial" w:cs="Arial"/>
          <w:b/>
        </w:rPr>
        <w:t>Prodotti a media frequenza</w:t>
      </w:r>
      <w:r w:rsidRPr="00700017">
        <w:rPr>
          <w:rFonts w:ascii="Arial" w:hAnsi="Arial" w:cs="Arial"/>
        </w:rPr>
        <w:t xml:space="preserve"> </w:t>
      </w:r>
      <w:r w:rsidRPr="00700017">
        <w:rPr>
          <w:rFonts w:ascii="Arial" w:hAnsi="Arial" w:cs="Arial"/>
          <w:b/>
        </w:rPr>
        <w:t>di acquisto</w:t>
      </w:r>
      <w:r w:rsidRPr="00700017">
        <w:rPr>
          <w:rFonts w:ascii="Arial" w:hAnsi="Arial" w:cs="Arial"/>
        </w:rPr>
        <w:t>: comprendono, tra gli altri, le spese di abbigliamento, le tariffe elettriche e quelle relative all’acqua potabile e lo smaltimento dei rifiuti, i medicinali, i servizi medici e quelli dentistici, i trasporti stradali, ferroviari marittimi e aerei, i servizi postali e telefonici, i servizi ricreativi e culturali, i pacchetti vacanze, i libri, gli alberghi e gli altri servizi di alloggio</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Prodotti a bassa frequenza di acquisto</w:t>
      </w:r>
      <w:r w:rsidRPr="00700017">
        <w:rPr>
          <w:rFonts w:ascii="Arial" w:hAnsi="Arial" w:cs="Arial"/>
        </w:rPr>
        <w:t>: comprendono gli elettrodomestici, i servizi ospedalieri, l’acquisto dei mezzi di trasporto, i servizi di trasloco, gli apparecchi audiovisivi, fotografici e informatici, gli articoli sportivi</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Servizi relativi all’abitazione</w:t>
      </w:r>
      <w:r w:rsidRPr="00700017">
        <w:rPr>
          <w:rFonts w:ascii="Arial" w:hAnsi="Arial" w:cs="Arial"/>
        </w:rPr>
        <w:t xml:space="preserve">: comprendono i servizi di riparazione, la pulizia e la manutenzione della casa, la tariffa per i rifiuti solidi, </w:t>
      </w:r>
      <w:r w:rsidR="00690DF3">
        <w:rPr>
          <w:rFonts w:ascii="Arial" w:hAnsi="Arial" w:cs="Arial"/>
        </w:rPr>
        <w:t xml:space="preserve">la tariffa per la raccolta acque reflue, </w:t>
      </w:r>
      <w:r w:rsidRPr="00700017">
        <w:rPr>
          <w:rFonts w:ascii="Arial" w:hAnsi="Arial" w:cs="Arial"/>
        </w:rPr>
        <w:t>il canone d'affitto, le spese condominiali</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Servizi relativi alle comunicazioni</w:t>
      </w:r>
      <w:r w:rsidRPr="00700017">
        <w:rPr>
          <w:rFonts w:ascii="Arial" w:hAnsi="Arial" w:cs="Arial"/>
        </w:rPr>
        <w:t>: comprendono i servizi di telefonia e i servizi postali</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Servizi ricreativi, culturali e per la cura della persona</w:t>
      </w:r>
      <w:r w:rsidRPr="00700017">
        <w:rPr>
          <w:rFonts w:ascii="Arial" w:hAnsi="Arial" w:cs="Arial"/>
        </w:rPr>
        <w:t xml:space="preserve">: comprendono i pacchetti vacanza, i </w:t>
      </w:r>
      <w:r w:rsidRPr="00700017">
        <w:rPr>
          <w:rFonts w:ascii="Arial" w:hAnsi="Arial" w:cs="Arial"/>
        </w:rPr>
        <w:lastRenderedPageBreak/>
        <w:t>servizi di alloggio, i ristoranti, bar e simili, le mense, la riparazione di apparecchi audiovisivi, fotografici e informatici, i servizi per l'abbigliamento, i servizi per l'igiene personale, i servizi ricreativi e culturali vari, i concorsi e le lotterie</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Servizi relativi ai trasporti</w:t>
      </w:r>
      <w:r w:rsidRPr="00700017">
        <w:rPr>
          <w:rFonts w:ascii="Arial" w:hAnsi="Arial" w:cs="Arial"/>
        </w:rPr>
        <w:t>: comprendono i trasporti aerei, marittimi, ferroviari, e stradali, i servizi di manutenzione e riparazione di mezzi di trasporto, i trasferimenti di proprietà, le assicurazioni sui mezzi di trasporto</w:t>
      </w:r>
      <w:r w:rsidR="0080434C">
        <w:rPr>
          <w:rFonts w:ascii="Arial" w:hAnsi="Arial" w:cs="Arial"/>
        </w:rPr>
        <w:t>,</w:t>
      </w:r>
    </w:p>
    <w:p w:rsidR="000F4D00" w:rsidRPr="00700017" w:rsidRDefault="000F4D00" w:rsidP="00850839">
      <w:pPr>
        <w:spacing w:before="0" w:after="120"/>
        <w:ind w:left="1843"/>
        <w:jc w:val="both"/>
        <w:rPr>
          <w:rFonts w:ascii="Arial" w:hAnsi="Arial" w:cs="Arial"/>
        </w:rPr>
      </w:pPr>
      <w:r w:rsidRPr="00700017">
        <w:rPr>
          <w:rFonts w:ascii="Arial" w:hAnsi="Arial" w:cs="Arial"/>
          <w:b/>
        </w:rPr>
        <w:t>Servizi vari</w:t>
      </w:r>
      <w:r w:rsidRPr="00700017">
        <w:rPr>
          <w:rFonts w:ascii="Arial" w:hAnsi="Arial" w:cs="Arial"/>
        </w:rPr>
        <w:t>:</w:t>
      </w:r>
      <w:r w:rsidRPr="00700017">
        <w:rPr>
          <w:rFonts w:ascii="Arial" w:hAnsi="Arial" w:cs="Arial"/>
          <w:b/>
        </w:rPr>
        <w:t xml:space="preserve"> </w:t>
      </w:r>
      <w:r w:rsidRPr="00700017">
        <w:rPr>
          <w:rFonts w:ascii="Arial" w:hAnsi="Arial" w:cs="Arial"/>
        </w:rPr>
        <w:t>comprendono l’istruzione, i servizi medici, i servizi per l’assistenza, i servizi finanziari; professioni liberali; servizio funebre; assicurazioni sugli infortuni</w:t>
      </w:r>
      <w:r w:rsidR="0080434C">
        <w:rPr>
          <w:rFonts w:ascii="Arial" w:hAnsi="Arial" w:cs="Arial"/>
        </w:rPr>
        <w:t>,</w:t>
      </w:r>
    </w:p>
    <w:p w:rsidR="000F4D00" w:rsidRPr="00700017" w:rsidRDefault="000F4D00" w:rsidP="00850839">
      <w:pPr>
        <w:pStyle w:val="Corpotesto"/>
        <w:spacing w:after="120" w:line="240" w:lineRule="auto"/>
        <w:ind w:left="1843"/>
        <w:jc w:val="both"/>
        <w:rPr>
          <w:rFonts w:ascii="Arial" w:hAnsi="Arial" w:cs="Arial"/>
          <w:bCs/>
        </w:rPr>
      </w:pPr>
      <w:r w:rsidRPr="00700017">
        <w:rPr>
          <w:rFonts w:ascii="Arial" w:hAnsi="Arial" w:cs="Arial"/>
          <w:b/>
          <w:bCs/>
        </w:rPr>
        <w:t>Variazione congiunturale</w:t>
      </w:r>
      <w:r w:rsidRPr="00700017">
        <w:rPr>
          <w:rFonts w:ascii="Arial" w:hAnsi="Arial" w:cs="Arial"/>
          <w:bCs/>
        </w:rPr>
        <w:t>: variazione rispetto al periodo precedente</w:t>
      </w:r>
      <w:r w:rsidR="0080434C">
        <w:rPr>
          <w:rFonts w:ascii="Arial" w:hAnsi="Arial" w:cs="Arial"/>
          <w:bCs/>
        </w:rPr>
        <w:t>,</w:t>
      </w:r>
    </w:p>
    <w:p w:rsidR="000F4D00" w:rsidRPr="006E4BF9" w:rsidRDefault="000F4D00" w:rsidP="004964F6">
      <w:pPr>
        <w:pStyle w:val="Corpotesto"/>
        <w:spacing w:after="120" w:line="240" w:lineRule="auto"/>
        <w:ind w:left="1843"/>
        <w:jc w:val="both"/>
        <w:rPr>
          <w:rFonts w:ascii="Arial" w:hAnsi="Arial" w:cs="Arial"/>
          <w:bCs/>
        </w:rPr>
      </w:pPr>
      <w:r w:rsidRPr="00700017">
        <w:rPr>
          <w:rFonts w:ascii="Arial" w:hAnsi="Arial" w:cs="Arial"/>
          <w:b/>
          <w:bCs/>
        </w:rPr>
        <w:t>Variazione tendenziale</w:t>
      </w:r>
      <w:r w:rsidRPr="004964F6">
        <w:rPr>
          <w:rFonts w:ascii="Arial" w:hAnsi="Arial" w:cs="Arial"/>
          <w:b/>
          <w:bCs/>
        </w:rPr>
        <w:t xml:space="preserve">: </w:t>
      </w:r>
      <w:r w:rsidRPr="006E4BF9">
        <w:rPr>
          <w:rFonts w:ascii="Arial" w:hAnsi="Arial" w:cs="Arial"/>
          <w:bCs/>
        </w:rPr>
        <w:t>variazione rispetto allo stesso periodo dell’anno precedente</w:t>
      </w:r>
      <w:r w:rsidR="00C53371" w:rsidRPr="006E4BF9">
        <w:rPr>
          <w:rFonts w:ascii="Arial" w:hAnsi="Arial" w:cs="Arial"/>
          <w:bCs/>
        </w:rPr>
        <w:t>.</w:t>
      </w:r>
    </w:p>
    <w:p w:rsidR="000F4D00" w:rsidRDefault="000F4D00" w:rsidP="00850839">
      <w:pPr>
        <w:pStyle w:val="Corpotesto"/>
        <w:spacing w:after="120" w:line="240" w:lineRule="auto"/>
        <w:jc w:val="both"/>
        <w:rPr>
          <w:b/>
          <w:bCs/>
          <w:szCs w:val="24"/>
        </w:rPr>
      </w:pPr>
    </w:p>
    <w:p w:rsidR="001D13E6" w:rsidRDefault="001D13E6" w:rsidP="00850839">
      <w:pPr>
        <w:pStyle w:val="Corpotesto"/>
        <w:spacing w:after="120" w:line="240" w:lineRule="auto"/>
        <w:jc w:val="both"/>
        <w:rPr>
          <w:b/>
          <w:bCs/>
          <w:szCs w:val="24"/>
        </w:rPr>
      </w:pPr>
    </w:p>
    <w:p w:rsidR="001D13E6" w:rsidRDefault="001D13E6" w:rsidP="00850839">
      <w:pPr>
        <w:pStyle w:val="Corpotesto"/>
        <w:spacing w:after="120" w:line="240" w:lineRule="auto"/>
        <w:jc w:val="both"/>
        <w:rPr>
          <w:b/>
          <w:bCs/>
          <w:szCs w:val="24"/>
        </w:rPr>
      </w:pPr>
    </w:p>
    <w:p w:rsidR="001D13E6" w:rsidRDefault="001D13E6">
      <w:pPr>
        <w:widowControl/>
        <w:overflowPunct/>
        <w:autoSpaceDE/>
        <w:autoSpaceDN/>
        <w:adjustRightInd/>
        <w:spacing w:before="0" w:after="0"/>
        <w:rPr>
          <w:b/>
          <w:bCs/>
          <w:szCs w:val="24"/>
        </w:rPr>
      </w:pPr>
      <w:r>
        <w:rPr>
          <w:b/>
          <w:bCs/>
          <w:szCs w:val="24"/>
        </w:rPr>
        <w:br w:type="page"/>
      </w:r>
    </w:p>
    <w:p w:rsidR="000E79A9" w:rsidRPr="001D13E6" w:rsidRDefault="000E79A9" w:rsidP="000E79A9">
      <w:pPr>
        <w:spacing w:before="0" w:after="120"/>
        <w:ind w:left="1814"/>
        <w:jc w:val="both"/>
        <w:rPr>
          <w:rFonts w:ascii="Arial Narrow" w:hAnsi="Arial Narrow" w:cs="Arial"/>
          <w:b/>
          <w:sz w:val="28"/>
          <w:szCs w:val="28"/>
        </w:rPr>
      </w:pPr>
      <w:r w:rsidRPr="001D13E6">
        <w:rPr>
          <w:rFonts w:ascii="Arial Narrow" w:hAnsi="Arial Narrow" w:cs="Arial"/>
          <w:b/>
          <w:sz w:val="28"/>
          <w:szCs w:val="28"/>
        </w:rPr>
        <w:lastRenderedPageBreak/>
        <w:t>Nota metodologica</w:t>
      </w:r>
    </w:p>
    <w:p w:rsidR="000E79A9" w:rsidRPr="001D13E6" w:rsidRDefault="000E79A9" w:rsidP="000E79A9">
      <w:pPr>
        <w:spacing w:before="0" w:after="120"/>
        <w:ind w:left="1814"/>
        <w:jc w:val="both"/>
        <w:rPr>
          <w:rFonts w:ascii="Arial Narrow" w:hAnsi="Arial Narrow" w:cs="Arial"/>
          <w:b/>
          <w:sz w:val="28"/>
          <w:szCs w:val="28"/>
        </w:rPr>
      </w:pPr>
      <w:r w:rsidRPr="001D13E6">
        <w:rPr>
          <w:rFonts w:ascii="Arial Narrow" w:hAnsi="Arial Narrow" w:cs="Arial"/>
          <w:b/>
          <w:sz w:val="28"/>
          <w:szCs w:val="28"/>
        </w:rPr>
        <w:t>Gli indici dei prezzi al consumo</w:t>
      </w:r>
    </w:p>
    <w:p w:rsidR="000E79A9" w:rsidRPr="001D13E6" w:rsidRDefault="000E79A9" w:rsidP="000E79A9">
      <w:pPr>
        <w:spacing w:before="0" w:after="120"/>
        <w:ind w:left="1814"/>
        <w:jc w:val="both"/>
        <w:rPr>
          <w:rFonts w:ascii="Arial Narrow" w:hAnsi="Arial Narrow" w:cs="Arial"/>
          <w:b/>
          <w:sz w:val="4"/>
          <w:szCs w:val="4"/>
        </w:rPr>
      </w:pPr>
    </w:p>
    <w:p w:rsidR="000E79A9" w:rsidRPr="001D13E6" w:rsidRDefault="000E79A9" w:rsidP="000E79A9">
      <w:pPr>
        <w:spacing w:before="0" w:after="120"/>
        <w:ind w:left="1814"/>
        <w:jc w:val="both"/>
        <w:rPr>
          <w:rFonts w:ascii="Arial" w:hAnsi="Arial" w:cs="Arial"/>
          <w:sz w:val="4"/>
          <w:szCs w:val="4"/>
        </w:rPr>
      </w:pPr>
    </w:p>
    <w:p w:rsidR="000E79A9" w:rsidRPr="001D13E6" w:rsidRDefault="000E79A9" w:rsidP="000E79A9">
      <w:pPr>
        <w:spacing w:before="0" w:after="120"/>
        <w:ind w:left="1814"/>
        <w:jc w:val="both"/>
        <w:rPr>
          <w:rFonts w:ascii="Arial" w:hAnsi="Arial" w:cs="Arial"/>
        </w:rPr>
      </w:pPr>
      <w:r w:rsidRPr="001D13E6">
        <w:rPr>
          <w:rFonts w:ascii="Arial" w:hAnsi="Arial" w:cs="Arial"/>
        </w:rPr>
        <w:t>I numeri indici dei prezzi al consumo misurano le variazioni nel tempo dei prezzi di un paniere di beni e servizi rappresentativi di tutti quelli destinati al consumo finale delle famiglie presenti sul territorio nazionale e acquistabili sul mercato attraverso transazioni monetarie. Sono pertanto escluse le transazioni a titolo gratuito, gli autoconsumi, i fitti figurativi ecc..</w:t>
      </w:r>
    </w:p>
    <w:p w:rsidR="000E79A9" w:rsidRPr="001D13E6" w:rsidRDefault="000E79A9" w:rsidP="000E79A9">
      <w:pPr>
        <w:spacing w:before="0" w:after="120"/>
        <w:ind w:left="1814"/>
        <w:jc w:val="both"/>
        <w:rPr>
          <w:rFonts w:ascii="Arial" w:hAnsi="Arial" w:cs="Arial"/>
        </w:rPr>
      </w:pPr>
      <w:r w:rsidRPr="001D13E6">
        <w:rPr>
          <w:rFonts w:ascii="Arial" w:hAnsi="Arial" w:cs="Arial"/>
        </w:rPr>
        <w:t>Gli indici dei prezzi al consumo sono calcolati utilizzando l’indice a catena del tipo Laspeyres, con aggiornamento annuale sia del paniere, sia del sistema dei pesi. Gli indici mensili vengono calcolati con riferimento al mese di dicembre dell’anno precedente (che rappresenta la base di calcolo) e sono successivamente concatenati sul periodo scelto come base di riferimento, al fine di misurare la dinamica dei prezzi su un periodo di tempo più lungo di un anno.</w:t>
      </w:r>
    </w:p>
    <w:p w:rsidR="000E79A9" w:rsidRPr="001D13E6" w:rsidRDefault="000E79A9" w:rsidP="000E79A9">
      <w:pPr>
        <w:spacing w:before="0" w:after="60"/>
        <w:ind w:left="1814"/>
        <w:jc w:val="both"/>
        <w:rPr>
          <w:rFonts w:ascii="Arial" w:hAnsi="Arial" w:cs="Arial"/>
        </w:rPr>
      </w:pPr>
      <w:r w:rsidRPr="001D13E6">
        <w:rPr>
          <w:rFonts w:ascii="Arial" w:hAnsi="Arial" w:cs="Arial"/>
        </w:rPr>
        <w:t xml:space="preserve">L’Istat produce tre diversi indici dei prezzi al consumo: </w:t>
      </w:r>
    </w:p>
    <w:p w:rsidR="000E79A9" w:rsidRPr="001D13E6" w:rsidRDefault="000E79A9" w:rsidP="000E79A9">
      <w:pPr>
        <w:overflowPunct/>
        <w:autoSpaceDE/>
        <w:autoSpaceDN/>
        <w:adjustRightInd/>
        <w:spacing w:before="0" w:after="60"/>
        <w:ind w:left="1814"/>
        <w:jc w:val="both"/>
        <w:rPr>
          <w:rFonts w:ascii="Arial" w:hAnsi="Arial" w:cs="Arial"/>
        </w:rPr>
      </w:pPr>
      <w:r w:rsidRPr="001D13E6">
        <w:rPr>
          <w:rFonts w:ascii="Arial" w:hAnsi="Arial" w:cs="Arial"/>
          <w:noProof/>
        </w:rPr>
        <w:drawing>
          <wp:inline distT="0" distB="0" distL="0" distR="0" wp14:anchorId="1108C9A9" wp14:editId="192D201B">
            <wp:extent cx="57150" cy="952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l’Indice nazionale dei prezzi al consumo per l’intera collettività (</w:t>
      </w:r>
      <w:r w:rsidRPr="001D13E6">
        <w:rPr>
          <w:rFonts w:ascii="Arial" w:hAnsi="Arial" w:cs="Arial"/>
          <w:b/>
          <w:color w:val="333333"/>
        </w:rPr>
        <w:t>NIC</w:t>
      </w:r>
      <w:r w:rsidRPr="001D13E6">
        <w:rPr>
          <w:rFonts w:ascii="Arial" w:hAnsi="Arial" w:cs="Arial"/>
        </w:rPr>
        <w:t xml:space="preserve">); </w:t>
      </w:r>
    </w:p>
    <w:p w:rsidR="000E79A9" w:rsidRPr="001D13E6" w:rsidRDefault="000E79A9" w:rsidP="000E79A9">
      <w:pPr>
        <w:overflowPunct/>
        <w:autoSpaceDE/>
        <w:autoSpaceDN/>
        <w:adjustRightInd/>
        <w:spacing w:before="0" w:after="60"/>
        <w:ind w:left="1814"/>
        <w:jc w:val="both"/>
        <w:rPr>
          <w:rFonts w:ascii="Arial" w:hAnsi="Arial" w:cs="Arial"/>
        </w:rPr>
      </w:pPr>
      <w:r w:rsidRPr="001D13E6">
        <w:rPr>
          <w:rFonts w:ascii="Arial" w:hAnsi="Arial" w:cs="Arial"/>
          <w:noProof/>
        </w:rPr>
        <w:drawing>
          <wp:inline distT="0" distB="0" distL="0" distR="0" wp14:anchorId="73356444" wp14:editId="62546C97">
            <wp:extent cx="57150" cy="952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l’Indice dei prezzi al consumo per le famiglie di operai e impiegati (</w:t>
      </w:r>
      <w:r w:rsidRPr="001D13E6">
        <w:rPr>
          <w:rFonts w:ascii="Arial" w:hAnsi="Arial" w:cs="Arial"/>
          <w:b/>
          <w:color w:val="333333"/>
        </w:rPr>
        <w:t>FOI</w:t>
      </w:r>
      <w:r w:rsidRPr="001D13E6">
        <w:rPr>
          <w:rFonts w:ascii="Arial" w:hAnsi="Arial" w:cs="Arial"/>
        </w:rPr>
        <w:t xml:space="preserve">); </w:t>
      </w:r>
    </w:p>
    <w:p w:rsidR="000E79A9" w:rsidRPr="001D13E6" w:rsidRDefault="000E79A9" w:rsidP="000E79A9">
      <w:pPr>
        <w:overflowPunct/>
        <w:autoSpaceDE/>
        <w:autoSpaceDN/>
        <w:adjustRightInd/>
        <w:spacing w:before="0" w:after="120"/>
        <w:ind w:left="1814"/>
        <w:jc w:val="both"/>
        <w:rPr>
          <w:rFonts w:ascii="Arial" w:hAnsi="Arial" w:cs="Arial"/>
        </w:rPr>
      </w:pPr>
      <w:r w:rsidRPr="001D13E6">
        <w:rPr>
          <w:rFonts w:ascii="Arial" w:hAnsi="Arial" w:cs="Arial"/>
          <w:noProof/>
        </w:rPr>
        <w:drawing>
          <wp:inline distT="0" distB="0" distL="0" distR="0" wp14:anchorId="5BD6C408" wp14:editId="592B4551">
            <wp:extent cx="57150" cy="952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l’Indice dei prezzi al consumo armonizzato per i paesi dell’Unione europea (</w:t>
      </w:r>
      <w:r w:rsidRPr="001D13E6">
        <w:rPr>
          <w:rFonts w:ascii="Arial" w:hAnsi="Arial" w:cs="Arial"/>
          <w:b/>
          <w:color w:val="333333"/>
        </w:rPr>
        <w:t>IPCA</w:t>
      </w:r>
      <w:r w:rsidRPr="001D13E6">
        <w:rPr>
          <w:rFonts w:ascii="Arial" w:hAnsi="Arial" w:cs="Arial"/>
        </w:rPr>
        <w:t>).</w:t>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t>Finalità, campo di osservazione, concetto di prezzo</w:t>
      </w:r>
    </w:p>
    <w:p w:rsidR="000E79A9" w:rsidRPr="001D13E6" w:rsidRDefault="000E79A9" w:rsidP="000E79A9">
      <w:pPr>
        <w:spacing w:before="0"/>
        <w:ind w:left="1814"/>
        <w:jc w:val="both"/>
        <w:rPr>
          <w:rFonts w:ascii="Arial" w:hAnsi="Arial" w:cs="Arial"/>
        </w:rPr>
      </w:pPr>
      <w:r w:rsidRPr="001D13E6">
        <w:rPr>
          <w:rFonts w:ascii="Arial" w:hAnsi="Arial" w:cs="Arial"/>
        </w:rPr>
        <w:t xml:space="preserve">I tre indici hanno </w:t>
      </w:r>
      <w:r w:rsidRPr="001D13E6">
        <w:rPr>
          <w:rFonts w:ascii="Arial" w:hAnsi="Arial" w:cs="Arial"/>
          <w:b/>
          <w:color w:val="333333"/>
        </w:rPr>
        <w:t>finalità differenti</w:t>
      </w:r>
      <w:r w:rsidRPr="001D13E6">
        <w:rPr>
          <w:rFonts w:ascii="Arial" w:hAnsi="Arial" w:cs="Arial"/>
        </w:rPr>
        <w:t>.</w:t>
      </w:r>
    </w:p>
    <w:p w:rsidR="000E79A9" w:rsidRPr="001D13E6" w:rsidRDefault="000E79A9" w:rsidP="000E79A9">
      <w:pPr>
        <w:overflowPunct/>
        <w:autoSpaceDE/>
        <w:autoSpaceDN/>
        <w:adjustRightInd/>
        <w:spacing w:before="0" w:after="120"/>
        <w:ind w:left="1814"/>
        <w:jc w:val="both"/>
        <w:rPr>
          <w:rFonts w:ascii="Arial" w:hAnsi="Arial" w:cs="Arial"/>
        </w:rPr>
      </w:pPr>
      <w:r w:rsidRPr="001D13E6">
        <w:rPr>
          <w:rFonts w:ascii="Arial" w:hAnsi="Arial" w:cs="Arial"/>
        </w:rPr>
        <w:t xml:space="preserve">Il NIC è utilizzato come misura dell’inflazione a livello dell’intero sistema economico; in altre parole considera la collettività nazionale come se fosse un’unica grande famiglia di consumatori, all’interno della quale le abitudini di spesa sono molto differenziate. </w:t>
      </w:r>
    </w:p>
    <w:p w:rsidR="000E79A9" w:rsidRPr="001D13E6" w:rsidRDefault="000E79A9" w:rsidP="000E79A9">
      <w:pPr>
        <w:overflowPunct/>
        <w:autoSpaceDE/>
        <w:autoSpaceDN/>
        <w:adjustRightInd/>
        <w:spacing w:before="0" w:after="120"/>
        <w:ind w:left="1814"/>
        <w:jc w:val="both"/>
        <w:rPr>
          <w:rFonts w:ascii="Arial" w:hAnsi="Arial" w:cs="Arial"/>
        </w:rPr>
      </w:pPr>
      <w:r w:rsidRPr="001D13E6">
        <w:rPr>
          <w:rFonts w:ascii="Arial" w:hAnsi="Arial" w:cs="Arial"/>
        </w:rPr>
        <w:t xml:space="preserve">Il FOI si riferisce ai consumi dell’insieme delle famiglie che fanno capo a un lavoratore dipendente. </w:t>
      </w:r>
      <w:r>
        <w:rPr>
          <w:rFonts w:ascii="Arial" w:hAnsi="Arial" w:cs="Arial"/>
        </w:rPr>
        <w:t>È</w:t>
      </w:r>
      <w:r w:rsidRPr="001D13E6">
        <w:rPr>
          <w:rFonts w:ascii="Arial" w:hAnsi="Arial" w:cs="Arial"/>
        </w:rPr>
        <w:t xml:space="preserve"> l’indice generalmente usato per adeguare periodicamente i valori monetari, ad esempio gli affitti o gli assegni dovuti al coniuge separato.</w:t>
      </w:r>
    </w:p>
    <w:p w:rsidR="000E79A9" w:rsidRPr="001D13E6" w:rsidRDefault="000E79A9" w:rsidP="000E79A9">
      <w:pPr>
        <w:overflowPunct/>
        <w:autoSpaceDE/>
        <w:autoSpaceDN/>
        <w:adjustRightInd/>
        <w:spacing w:before="0" w:after="120"/>
        <w:ind w:left="1814"/>
        <w:jc w:val="both"/>
        <w:rPr>
          <w:rFonts w:ascii="Arial" w:hAnsi="Arial" w:cs="Arial"/>
        </w:rPr>
      </w:pPr>
      <w:r w:rsidRPr="001D13E6">
        <w:rPr>
          <w:rFonts w:ascii="Arial" w:hAnsi="Arial" w:cs="Arial"/>
        </w:rPr>
        <w:t xml:space="preserve">L’IPCA è stato sviluppato per assicurare una misura dell’inflazione comparabile a livello europeo. Infatti, viene </w:t>
      </w:r>
      <w:r>
        <w:rPr>
          <w:rFonts w:ascii="Arial" w:hAnsi="Arial" w:cs="Arial"/>
        </w:rPr>
        <w:t>utilizzato</w:t>
      </w:r>
      <w:r w:rsidRPr="001D13E6">
        <w:rPr>
          <w:rFonts w:ascii="Arial" w:hAnsi="Arial" w:cs="Arial"/>
        </w:rPr>
        <w:t xml:space="preserve"> come </w:t>
      </w:r>
      <w:r>
        <w:rPr>
          <w:rFonts w:ascii="Arial" w:hAnsi="Arial" w:cs="Arial"/>
        </w:rPr>
        <w:t xml:space="preserve">uno degli </w:t>
      </w:r>
      <w:r w:rsidRPr="001D13E6">
        <w:rPr>
          <w:rFonts w:ascii="Arial" w:hAnsi="Arial" w:cs="Arial"/>
        </w:rPr>
        <w:t>indicator</w:t>
      </w:r>
      <w:r>
        <w:rPr>
          <w:rFonts w:ascii="Arial" w:hAnsi="Arial" w:cs="Arial"/>
        </w:rPr>
        <w:t>i</w:t>
      </w:r>
      <w:r w:rsidRPr="001D13E6">
        <w:rPr>
          <w:rFonts w:ascii="Arial" w:hAnsi="Arial" w:cs="Arial"/>
        </w:rPr>
        <w:t xml:space="preserve"> per verificare la convergenza delle economie dei paesi membri dell’Unione europea. </w:t>
      </w:r>
      <w:r>
        <w:rPr>
          <w:rFonts w:ascii="Arial" w:hAnsi="Arial" w:cs="Arial"/>
        </w:rPr>
        <w:t>L’</w:t>
      </w:r>
      <w:r w:rsidRPr="001D13E6">
        <w:rPr>
          <w:rFonts w:ascii="Arial" w:hAnsi="Arial" w:cs="Arial"/>
        </w:rPr>
        <w:t xml:space="preserve">indice viene calcolato e pubblicato dall’Istat e inviato all’Eurostat mensilmente secondo un calendario prefissato. L’Eurostat, a sua volta, diffonde gli indici armonizzati dei singoli paesi dell’Ue ed elabora e diffonde l’indice sintetico europeo, calcolato sulla base dei primi. </w:t>
      </w:r>
    </w:p>
    <w:p w:rsidR="000E79A9" w:rsidRPr="001D13E6" w:rsidRDefault="000E79A9" w:rsidP="000E79A9">
      <w:pPr>
        <w:spacing w:before="0" w:after="120"/>
        <w:ind w:left="1814"/>
        <w:jc w:val="both"/>
        <w:rPr>
          <w:rFonts w:ascii="Arial" w:hAnsi="Arial" w:cs="Arial"/>
        </w:rPr>
      </w:pPr>
      <w:r w:rsidRPr="001D13E6">
        <w:rPr>
          <w:rFonts w:ascii="Arial" w:hAnsi="Arial" w:cs="Arial"/>
        </w:rPr>
        <w:t>I tre indici hanno</w:t>
      </w:r>
      <w:r w:rsidRPr="001D13E6">
        <w:rPr>
          <w:rFonts w:ascii="Arial" w:hAnsi="Arial" w:cs="Arial"/>
          <w:b/>
        </w:rPr>
        <w:t xml:space="preserve"> </w:t>
      </w:r>
      <w:r w:rsidRPr="001D13E6">
        <w:rPr>
          <w:rFonts w:ascii="Arial" w:hAnsi="Arial" w:cs="Arial"/>
          <w:b/>
          <w:color w:val="333333"/>
        </w:rPr>
        <w:t>in comune</w:t>
      </w:r>
      <w:r w:rsidRPr="001D13E6">
        <w:rPr>
          <w:rFonts w:ascii="Arial" w:hAnsi="Arial" w:cs="Arial"/>
        </w:rPr>
        <w:t xml:space="preserve"> i seguenti elementi: la rilevazione dei prezzi; la metodologia di calcolo; la base territoriale; l’articolazione del paniere in 12 divisioni di spesa.</w:t>
      </w:r>
    </w:p>
    <w:p w:rsidR="000E79A9" w:rsidRPr="001D13E6" w:rsidRDefault="000E79A9" w:rsidP="000E79A9">
      <w:pPr>
        <w:spacing w:before="0" w:after="120"/>
        <w:ind w:left="1814"/>
        <w:jc w:val="both"/>
        <w:rPr>
          <w:rFonts w:ascii="Arial" w:hAnsi="Arial" w:cs="Arial"/>
        </w:rPr>
      </w:pPr>
      <w:r w:rsidRPr="001D13E6">
        <w:rPr>
          <w:rFonts w:ascii="Arial" w:hAnsi="Arial" w:cs="Arial"/>
        </w:rPr>
        <w:t>I tre indici</w:t>
      </w:r>
      <w:r w:rsidRPr="001D13E6">
        <w:rPr>
          <w:rFonts w:ascii="Arial" w:hAnsi="Arial" w:cs="Arial"/>
          <w:b/>
        </w:rPr>
        <w:t xml:space="preserve"> </w:t>
      </w:r>
      <w:r w:rsidRPr="001D13E6">
        <w:rPr>
          <w:rFonts w:ascii="Arial" w:hAnsi="Arial" w:cs="Arial"/>
          <w:b/>
          <w:color w:val="333333"/>
        </w:rPr>
        <w:t>differiscono</w:t>
      </w:r>
      <w:r w:rsidRPr="001D13E6">
        <w:rPr>
          <w:rFonts w:ascii="Arial" w:hAnsi="Arial" w:cs="Arial"/>
          <w:b/>
        </w:rPr>
        <w:t xml:space="preserve"> </w:t>
      </w:r>
      <w:r w:rsidRPr="001D13E6">
        <w:rPr>
          <w:rFonts w:ascii="Arial" w:hAnsi="Arial" w:cs="Arial"/>
        </w:rPr>
        <w:t xml:space="preserve">per altri specifici aspetti. In particolare, NIC e FOI si basano sullo stesso paniere e si riferiscono ai consumi finali individuali indipendentemente se la spesa sia a totale carico delle famiglie o, in misura parziale o totale, della Pubblica Amministrazione o delle istituzioni non aventi fini di lucro (ISP). Il peso attribuito a ogni bene o servizio è diverso nei due indici, a seconda dell’importanza che i diversi prodotti assumono nei consumi della popolazione di riferimento. Per il NIC la popolazione di riferimento è l’intera popolazione; per il FOI è l’insieme di famiglie che fanno capo a un lavoratore dipendente. </w:t>
      </w:r>
    </w:p>
    <w:p w:rsidR="000E79A9" w:rsidRPr="001D13E6" w:rsidRDefault="000E79A9" w:rsidP="000E79A9">
      <w:pPr>
        <w:spacing w:before="0" w:after="120"/>
        <w:ind w:left="1814"/>
        <w:jc w:val="both"/>
        <w:rPr>
          <w:rFonts w:ascii="Arial" w:hAnsi="Arial" w:cs="Arial"/>
        </w:rPr>
      </w:pPr>
      <w:r w:rsidRPr="001D13E6">
        <w:rPr>
          <w:rFonts w:ascii="Arial" w:hAnsi="Arial" w:cs="Arial"/>
        </w:rPr>
        <w:t>L’IPCA ha in comune con il NIC la popolazione di riferimento, ma si differenzia dagli altri due indici poiché si riferisce alla spesa monetaria per consumi finali sostenuta esclusivamente dalle famiglie (</w:t>
      </w:r>
      <w:r w:rsidRPr="001D13E6">
        <w:rPr>
          <w:rFonts w:ascii="Arial" w:hAnsi="Arial" w:cs="Arial"/>
          <w:i/>
        </w:rPr>
        <w:t>Household final monetary consumption expenditure</w:t>
      </w:r>
      <w:r w:rsidRPr="001D13E6">
        <w:rPr>
          <w:rFonts w:ascii="Arial" w:hAnsi="Arial" w:cs="Arial"/>
        </w:rPr>
        <w:t xml:space="preserve">); esclude, inoltre, sulla base di regolamenti comunitari, alcuni prodotti come, ad esempio, le lotterie, il lotto e i concorsi pronostici. </w:t>
      </w:r>
    </w:p>
    <w:p w:rsidR="000E79A9" w:rsidRPr="001D13E6" w:rsidRDefault="000E79A9" w:rsidP="000E79A9">
      <w:pPr>
        <w:spacing w:before="0" w:after="120"/>
        <w:ind w:left="1814"/>
        <w:jc w:val="both"/>
        <w:rPr>
          <w:rFonts w:ascii="Arial" w:hAnsi="Arial" w:cs="Arial"/>
        </w:rPr>
      </w:pPr>
      <w:r w:rsidRPr="001D13E6">
        <w:rPr>
          <w:rFonts w:ascii="Arial" w:hAnsi="Arial" w:cs="Arial"/>
        </w:rPr>
        <w:t xml:space="preserve">Un’ulteriore differenziazione fra i tre indici riguarda il concetto di prezzo considerato: il NIC e il FOI considerano sempre il prezzo pieno di vendita. L’IPCA si riferisce invece al prezzo effettivamente pagato dal consumatore. Ad esempio, nel caso dei medicinali, mentre per gli indici nazionali viene considerato il prezzo pieno del prodotto, per quello armonizzato il prezzo di riferimento è rappresentato dalla quota effettivamente a carico delle famiglie. Inoltre, l’IPCA tiene conto anche delle riduzioni temporanee di prezzo (saldi, sconti e promozioni). Tale caratteristica può determinare in alcuni mesi dell’anno andamenti congiunturali </w:t>
      </w:r>
      <w:r>
        <w:rPr>
          <w:rFonts w:ascii="Arial" w:hAnsi="Arial" w:cs="Arial"/>
        </w:rPr>
        <w:t>sensibilmente</w:t>
      </w:r>
      <w:r w:rsidRPr="001D13E6">
        <w:rPr>
          <w:rFonts w:ascii="Arial" w:hAnsi="Arial" w:cs="Arial"/>
        </w:rPr>
        <w:t xml:space="preserve"> diversi da quelli degli indici NIC e FOI.</w:t>
      </w:r>
    </w:p>
    <w:p w:rsidR="000E79A9" w:rsidRPr="001D13E6" w:rsidRDefault="000E79A9" w:rsidP="000E79A9">
      <w:pPr>
        <w:spacing w:before="0" w:after="120"/>
        <w:ind w:left="1814"/>
        <w:jc w:val="both"/>
        <w:rPr>
          <w:rFonts w:ascii="Arial" w:hAnsi="Arial" w:cs="Arial"/>
        </w:rPr>
      </w:pPr>
      <w:r w:rsidRPr="001D13E6">
        <w:rPr>
          <w:rFonts w:ascii="Arial" w:hAnsi="Arial" w:cs="Arial"/>
        </w:rPr>
        <w:lastRenderedPageBreak/>
        <w:t>Gli indici nazionali NIC e FOI sono prodotti anche nella versione che esclude dal calcolo i tabacchi, ai sensi della legge n.</w:t>
      </w:r>
      <w:r>
        <w:rPr>
          <w:rFonts w:ascii="Arial" w:hAnsi="Arial" w:cs="Arial"/>
        </w:rPr>
        <w:t xml:space="preserve"> </w:t>
      </w:r>
      <w:r w:rsidRPr="001D13E6">
        <w:rPr>
          <w:rFonts w:ascii="Arial" w:hAnsi="Arial" w:cs="Arial"/>
        </w:rPr>
        <w:t>81 del 1992</w:t>
      </w:r>
      <w:r w:rsidRPr="001D13E6">
        <w:rPr>
          <w:rFonts w:ascii="Arial" w:hAnsi="Arial" w:cs="Arial"/>
          <w:i/>
        </w:rPr>
        <w:t>.</w:t>
      </w:r>
      <w:r w:rsidRPr="001D13E6">
        <w:rPr>
          <w:rFonts w:ascii="Arial" w:hAnsi="Arial" w:cs="Arial"/>
        </w:rPr>
        <w:t xml:space="preserve"> </w:t>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t xml:space="preserve">Base di riferimento degli indici </w:t>
      </w:r>
    </w:p>
    <w:p w:rsidR="000E79A9" w:rsidRPr="001D13E6" w:rsidRDefault="000E79A9" w:rsidP="000E79A9">
      <w:pPr>
        <w:spacing w:before="0" w:after="120"/>
        <w:ind w:left="1814"/>
        <w:jc w:val="both"/>
        <w:rPr>
          <w:rFonts w:ascii="Arial" w:hAnsi="Arial" w:cs="Arial"/>
        </w:rPr>
      </w:pPr>
      <w:r w:rsidRPr="001D13E6">
        <w:rPr>
          <w:rFonts w:ascii="Arial" w:hAnsi="Arial" w:cs="Arial"/>
        </w:rPr>
        <w:t>Le serie degli indici nazionali NIC e FOI hanno base di riferimento 201</w:t>
      </w:r>
      <w:r>
        <w:rPr>
          <w:rFonts w:ascii="Arial" w:hAnsi="Arial" w:cs="Arial"/>
        </w:rPr>
        <w:t>5</w:t>
      </w:r>
      <w:r w:rsidRPr="001D13E6">
        <w:rPr>
          <w:rFonts w:ascii="Arial" w:hAnsi="Arial" w:cs="Arial"/>
        </w:rPr>
        <w:t>=100.</w:t>
      </w:r>
    </w:p>
    <w:p w:rsidR="000E79A9" w:rsidRPr="001D13E6" w:rsidRDefault="000E79A9" w:rsidP="000E79A9">
      <w:pPr>
        <w:spacing w:before="0" w:after="120"/>
        <w:ind w:left="1814"/>
        <w:jc w:val="both"/>
        <w:rPr>
          <w:rFonts w:ascii="Arial" w:hAnsi="Arial" w:cs="Arial"/>
        </w:rPr>
      </w:pPr>
      <w:r w:rsidRPr="001D13E6">
        <w:rPr>
          <w:rFonts w:ascii="Arial" w:hAnsi="Arial" w:cs="Arial"/>
        </w:rPr>
        <w:t>L’indice IPCA è calcolato e diffuso con base di riferimento 20</w:t>
      </w:r>
      <w:r>
        <w:rPr>
          <w:rFonts w:ascii="Arial" w:hAnsi="Arial" w:cs="Arial"/>
        </w:rPr>
        <w:t>1</w:t>
      </w:r>
      <w:r w:rsidRPr="001D13E6">
        <w:rPr>
          <w:rFonts w:ascii="Arial" w:hAnsi="Arial" w:cs="Arial"/>
        </w:rPr>
        <w:t xml:space="preserve">5=100, in linea con gli altri </w:t>
      </w:r>
      <w:r w:rsidR="00AD3954">
        <w:rPr>
          <w:rFonts w:ascii="Arial" w:hAnsi="Arial" w:cs="Arial"/>
        </w:rPr>
        <w:t>P</w:t>
      </w:r>
      <w:r w:rsidR="00AD3954" w:rsidRPr="001D13E6">
        <w:rPr>
          <w:rFonts w:ascii="Arial" w:hAnsi="Arial" w:cs="Arial"/>
        </w:rPr>
        <w:t xml:space="preserve">aesi </w:t>
      </w:r>
      <w:r w:rsidRPr="001D13E6">
        <w:rPr>
          <w:rFonts w:ascii="Arial" w:hAnsi="Arial" w:cs="Arial"/>
        </w:rPr>
        <w:t xml:space="preserve">dell’Unione europea e in conformità al </w:t>
      </w:r>
      <w:r w:rsidRPr="00BB1B52">
        <w:rPr>
          <w:rFonts w:ascii="Arial" w:hAnsi="Arial" w:cs="Arial"/>
        </w:rPr>
        <w:t>Regolamento Ue 2015/2010 della Commissione europea dell’11 novembre 2015</w:t>
      </w:r>
      <w:r w:rsidRPr="001D13E6">
        <w:rPr>
          <w:rFonts w:ascii="Arial" w:hAnsi="Arial" w:cs="Arial"/>
        </w:rPr>
        <w:t>.</w:t>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t>Classificazione della spesa per consumi, paniere dei prodotti</w:t>
      </w:r>
    </w:p>
    <w:p w:rsidR="000E79A9" w:rsidRPr="001D13E6" w:rsidRDefault="000E79A9" w:rsidP="000E79A9">
      <w:pPr>
        <w:widowControl/>
        <w:overflowPunct/>
        <w:spacing w:before="120" w:after="0"/>
        <w:ind w:left="1814"/>
        <w:jc w:val="both"/>
        <w:rPr>
          <w:rFonts w:ascii="Arial" w:hAnsi="Arial" w:cs="Arial"/>
          <w:szCs w:val="21"/>
        </w:rPr>
      </w:pPr>
      <w:r w:rsidRPr="001D13E6">
        <w:rPr>
          <w:rFonts w:ascii="Arial" w:hAnsi="Arial" w:cs="Arial"/>
          <w:szCs w:val="21"/>
        </w:rPr>
        <w:t>A partire dai dati definitivi di gennaio 2016, gli indici IPCA, NIC e FOI s</w:t>
      </w:r>
      <w:r>
        <w:rPr>
          <w:rFonts w:ascii="Arial" w:hAnsi="Arial" w:cs="Arial"/>
          <w:szCs w:val="21"/>
        </w:rPr>
        <w:t>o</w:t>
      </w:r>
      <w:r w:rsidRPr="001D13E6">
        <w:rPr>
          <w:rFonts w:ascii="Arial" w:hAnsi="Arial" w:cs="Arial"/>
          <w:szCs w:val="21"/>
        </w:rPr>
        <w:t>no classificati in base alla nuova classificazione ECOICOP (European Classification of Individual Consumption according to Purpose), allegata al nuovo Regolamento quadro europeo degli indici armonizzati dei prezzi al consumo e dell’indice dei prezzi delle abitazioni, attualmente in corso di approvazione, prevede l’introduzione delle sottoclassi di prodotto come ulteriore livello di dettaglio.</w:t>
      </w:r>
    </w:p>
    <w:p w:rsidR="000E79A9" w:rsidRPr="001D13E6" w:rsidRDefault="000E79A9" w:rsidP="000E79A9">
      <w:pPr>
        <w:widowControl/>
        <w:overflowPunct/>
        <w:spacing w:before="120" w:after="0"/>
        <w:ind w:left="1814"/>
        <w:jc w:val="both"/>
        <w:rPr>
          <w:rFonts w:ascii="Arial" w:hAnsi="Arial" w:cs="Arial"/>
          <w:szCs w:val="21"/>
        </w:rPr>
      </w:pPr>
      <w:r w:rsidRPr="001D13E6">
        <w:rPr>
          <w:rFonts w:ascii="Arial" w:hAnsi="Arial" w:cs="Arial"/>
          <w:szCs w:val="21"/>
        </w:rPr>
        <w:t xml:space="preserve">Sulla base degli orientamenti che si andavano consolidando a livello europeo, già nel 2011 l’Istat aveva introdotto (con la COICOP Rev.Istat) due ulteriori livelli di disaggregazione: le sottoclassi di prodotto e i segmenti di consumo. </w:t>
      </w:r>
    </w:p>
    <w:p w:rsidR="000E79A9" w:rsidRPr="001D13E6" w:rsidRDefault="000E79A9" w:rsidP="000E79A9">
      <w:pPr>
        <w:widowControl/>
        <w:overflowPunct/>
        <w:spacing w:before="120" w:after="0"/>
        <w:ind w:left="1814"/>
        <w:jc w:val="both"/>
        <w:rPr>
          <w:rFonts w:ascii="Arial" w:hAnsi="Arial" w:cs="Arial"/>
        </w:rPr>
      </w:pPr>
      <w:r w:rsidRPr="001D13E6">
        <w:rPr>
          <w:rFonts w:ascii="Arial" w:hAnsi="Arial" w:cs="Arial"/>
        </w:rPr>
        <w:t>A partire dai dati definitivi di gennaio 2016, le sottoclassi di prodotto che l’Istat utilizz</w:t>
      </w:r>
      <w:r>
        <w:rPr>
          <w:rFonts w:ascii="Arial" w:hAnsi="Arial" w:cs="Arial"/>
        </w:rPr>
        <w:t>a</w:t>
      </w:r>
      <w:r w:rsidRPr="001D13E6">
        <w:rPr>
          <w:rFonts w:ascii="Arial" w:hAnsi="Arial" w:cs="Arial"/>
        </w:rPr>
        <w:t xml:space="preserve"> per classificare IPCA, NIC e FOI sono quelle della ECOICOP</w:t>
      </w:r>
      <w:r>
        <w:rPr>
          <w:rFonts w:ascii="Arial" w:hAnsi="Arial" w:cs="Arial"/>
        </w:rPr>
        <w:t xml:space="preserve"> e passano</w:t>
      </w:r>
      <w:r w:rsidRPr="001D13E6">
        <w:rPr>
          <w:rFonts w:ascii="Arial" w:hAnsi="Arial" w:cs="Arial"/>
        </w:rPr>
        <w:t>così da 235 a 227, di cui solamente 21 non raccordabili con sottoclassi già esistenti. Per le merceologie interessate, queste nuove 21 sottoclassi di prodotto rappresentano un’articolazione dei consumi delle famiglie diversa da quella utilizzata in precedenza dall’Istat che, in alcuni casi, ha un impatto rilevante nella classificazione degli indici prodotti:</w:t>
      </w:r>
    </w:p>
    <w:p w:rsidR="000E79A9" w:rsidRPr="001D13E6" w:rsidRDefault="000E79A9" w:rsidP="000E79A9">
      <w:pPr>
        <w:widowControl/>
        <w:numPr>
          <w:ilvl w:val="0"/>
          <w:numId w:val="48"/>
        </w:numPr>
        <w:tabs>
          <w:tab w:val="num" w:pos="1843"/>
          <w:tab w:val="left" w:pos="2098"/>
        </w:tabs>
        <w:overflowPunct/>
        <w:spacing w:before="120" w:after="0"/>
        <w:ind w:left="1814" w:firstLine="0"/>
        <w:jc w:val="both"/>
        <w:rPr>
          <w:rFonts w:ascii="Arial" w:hAnsi="Arial" w:cs="Arial"/>
          <w:color w:val="000000"/>
          <w:kern w:val="0"/>
        </w:rPr>
      </w:pPr>
      <w:r w:rsidRPr="001D13E6">
        <w:rPr>
          <w:rFonts w:ascii="Arial" w:hAnsi="Arial" w:cs="Arial"/>
          <w:color w:val="000000"/>
          <w:kern w:val="0"/>
        </w:rPr>
        <w:t xml:space="preserve">il latte non </w:t>
      </w:r>
      <w:r>
        <w:rPr>
          <w:rFonts w:ascii="Arial" w:hAnsi="Arial" w:cs="Arial"/>
          <w:color w:val="000000"/>
          <w:kern w:val="0"/>
        </w:rPr>
        <w:t>è</w:t>
      </w:r>
      <w:r w:rsidRPr="001D13E6">
        <w:rPr>
          <w:rFonts w:ascii="Arial" w:hAnsi="Arial" w:cs="Arial"/>
          <w:color w:val="000000"/>
          <w:kern w:val="0"/>
        </w:rPr>
        <w:t xml:space="preserve"> più classificato in </w:t>
      </w:r>
      <w:r w:rsidRPr="001D13E6">
        <w:rPr>
          <w:rFonts w:ascii="Arial" w:hAnsi="Arial" w:cs="Arial"/>
          <w:i/>
          <w:color w:val="000000"/>
          <w:kern w:val="0"/>
        </w:rPr>
        <w:t>Latte fresco</w:t>
      </w:r>
      <w:r w:rsidRPr="001D13E6">
        <w:rPr>
          <w:rFonts w:ascii="Arial" w:hAnsi="Arial" w:cs="Arial"/>
          <w:color w:val="000000"/>
          <w:kern w:val="0"/>
        </w:rPr>
        <w:t xml:space="preserve"> e </w:t>
      </w:r>
      <w:r w:rsidRPr="001D13E6">
        <w:rPr>
          <w:rFonts w:ascii="Arial" w:hAnsi="Arial" w:cs="Arial"/>
          <w:i/>
          <w:color w:val="000000"/>
          <w:kern w:val="0"/>
        </w:rPr>
        <w:t>Latte a lunga conservazione</w:t>
      </w:r>
      <w:r w:rsidRPr="001D13E6">
        <w:rPr>
          <w:rFonts w:ascii="Arial" w:hAnsi="Arial" w:cs="Arial"/>
          <w:color w:val="000000"/>
          <w:kern w:val="0"/>
        </w:rPr>
        <w:t xml:space="preserve">, ma nelle sottoclassi di prodotto </w:t>
      </w:r>
      <w:r w:rsidRPr="001D13E6">
        <w:rPr>
          <w:rFonts w:ascii="Arial" w:hAnsi="Arial" w:cs="Arial"/>
          <w:i/>
          <w:color w:val="000000"/>
          <w:kern w:val="0"/>
        </w:rPr>
        <w:t>Latte intero</w:t>
      </w:r>
      <w:r w:rsidRPr="001D13E6">
        <w:rPr>
          <w:rFonts w:ascii="Arial" w:hAnsi="Arial" w:cs="Arial"/>
          <w:color w:val="000000"/>
          <w:kern w:val="0"/>
        </w:rPr>
        <w:t xml:space="preserve"> e </w:t>
      </w:r>
      <w:r w:rsidRPr="001D13E6">
        <w:rPr>
          <w:rFonts w:ascii="Arial" w:hAnsi="Arial" w:cs="Arial"/>
          <w:i/>
          <w:color w:val="000000"/>
          <w:kern w:val="0"/>
        </w:rPr>
        <w:t>Latte scremato</w:t>
      </w:r>
      <w:r w:rsidRPr="001D13E6">
        <w:rPr>
          <w:rFonts w:ascii="Arial" w:hAnsi="Arial" w:cs="Arial"/>
          <w:color w:val="000000"/>
          <w:kern w:val="0"/>
        </w:rPr>
        <w:t>;</w:t>
      </w:r>
    </w:p>
    <w:p w:rsidR="000E79A9" w:rsidRPr="001D13E6" w:rsidRDefault="000E79A9" w:rsidP="000E79A9">
      <w:pPr>
        <w:widowControl/>
        <w:numPr>
          <w:ilvl w:val="0"/>
          <w:numId w:val="48"/>
        </w:numPr>
        <w:tabs>
          <w:tab w:val="num" w:pos="1843"/>
          <w:tab w:val="left" w:pos="2098"/>
        </w:tabs>
        <w:overflowPunct/>
        <w:spacing w:before="120" w:after="0"/>
        <w:ind w:left="1814" w:firstLine="0"/>
        <w:jc w:val="both"/>
        <w:rPr>
          <w:rFonts w:ascii="Arial" w:hAnsi="Arial" w:cs="Arial"/>
          <w:color w:val="000000"/>
          <w:kern w:val="0"/>
        </w:rPr>
      </w:pPr>
      <w:r w:rsidRPr="001D13E6">
        <w:rPr>
          <w:rFonts w:ascii="Arial" w:hAnsi="Arial" w:cs="Arial"/>
          <w:color w:val="000000"/>
          <w:kern w:val="0"/>
        </w:rPr>
        <w:t xml:space="preserve">la classe di prodotto </w:t>
      </w:r>
      <w:r w:rsidRPr="001D13E6">
        <w:rPr>
          <w:rFonts w:ascii="Arial" w:hAnsi="Arial" w:cs="Arial"/>
          <w:i/>
          <w:color w:val="000000"/>
          <w:kern w:val="0"/>
        </w:rPr>
        <w:t>Automobili</w:t>
      </w:r>
      <w:r w:rsidRPr="001D13E6">
        <w:rPr>
          <w:rFonts w:ascii="Arial" w:hAnsi="Arial" w:cs="Arial"/>
          <w:color w:val="000000"/>
          <w:kern w:val="0"/>
        </w:rPr>
        <w:t xml:space="preserve"> </w:t>
      </w:r>
      <w:r>
        <w:rPr>
          <w:rFonts w:ascii="Arial" w:hAnsi="Arial" w:cs="Arial"/>
          <w:color w:val="000000"/>
          <w:kern w:val="0"/>
        </w:rPr>
        <w:t>è</w:t>
      </w:r>
      <w:r w:rsidRPr="001D13E6">
        <w:rPr>
          <w:rFonts w:ascii="Arial" w:hAnsi="Arial" w:cs="Arial"/>
          <w:color w:val="000000"/>
          <w:kern w:val="0"/>
        </w:rPr>
        <w:t xml:space="preserve"> articolata nelle due sottoclassi </w:t>
      </w:r>
      <w:r w:rsidRPr="001D13E6">
        <w:rPr>
          <w:rFonts w:ascii="Arial" w:hAnsi="Arial" w:cs="Arial"/>
          <w:i/>
          <w:color w:val="000000"/>
          <w:kern w:val="0"/>
        </w:rPr>
        <w:t>Automobili nuove</w:t>
      </w:r>
      <w:r w:rsidRPr="001D13E6">
        <w:rPr>
          <w:rFonts w:ascii="Arial" w:hAnsi="Arial" w:cs="Arial"/>
          <w:color w:val="000000"/>
          <w:kern w:val="0"/>
        </w:rPr>
        <w:t xml:space="preserve"> e </w:t>
      </w:r>
      <w:r w:rsidRPr="001D13E6">
        <w:rPr>
          <w:rFonts w:ascii="Arial" w:hAnsi="Arial" w:cs="Arial"/>
          <w:i/>
          <w:color w:val="000000"/>
          <w:kern w:val="0"/>
        </w:rPr>
        <w:t>Automobili usate</w:t>
      </w:r>
      <w:r w:rsidRPr="001D13E6">
        <w:rPr>
          <w:rFonts w:ascii="Arial" w:hAnsi="Arial" w:cs="Arial"/>
          <w:color w:val="000000"/>
          <w:kern w:val="0"/>
        </w:rPr>
        <w:t>;</w:t>
      </w:r>
    </w:p>
    <w:p w:rsidR="000E79A9" w:rsidRPr="001D13E6" w:rsidRDefault="000E79A9" w:rsidP="000E79A9">
      <w:pPr>
        <w:widowControl/>
        <w:numPr>
          <w:ilvl w:val="0"/>
          <w:numId w:val="48"/>
        </w:numPr>
        <w:tabs>
          <w:tab w:val="num" w:pos="1843"/>
          <w:tab w:val="left" w:pos="2098"/>
        </w:tabs>
        <w:overflowPunct/>
        <w:spacing w:before="120" w:after="0"/>
        <w:ind w:left="1814" w:firstLine="0"/>
        <w:jc w:val="both"/>
        <w:rPr>
          <w:rFonts w:ascii="Arial" w:hAnsi="Arial" w:cs="Arial"/>
          <w:color w:val="000000"/>
          <w:kern w:val="0"/>
        </w:rPr>
      </w:pPr>
      <w:r w:rsidRPr="001D13E6">
        <w:rPr>
          <w:rFonts w:ascii="Arial" w:hAnsi="Arial" w:cs="Arial"/>
          <w:color w:val="000000"/>
          <w:kern w:val="0"/>
        </w:rPr>
        <w:t xml:space="preserve">nella classe di prodotto </w:t>
      </w:r>
      <w:r w:rsidRPr="001D13E6">
        <w:rPr>
          <w:rFonts w:ascii="Arial" w:hAnsi="Arial" w:cs="Arial"/>
          <w:i/>
          <w:color w:val="000000"/>
          <w:kern w:val="0"/>
        </w:rPr>
        <w:t>Servizi di telefonia e telefax</w:t>
      </w:r>
      <w:r w:rsidRPr="001D13E6">
        <w:rPr>
          <w:rFonts w:ascii="Arial" w:hAnsi="Arial" w:cs="Arial"/>
          <w:color w:val="000000"/>
          <w:kern w:val="0"/>
        </w:rPr>
        <w:t xml:space="preserve"> </w:t>
      </w:r>
      <w:r>
        <w:rPr>
          <w:rFonts w:ascii="Arial" w:hAnsi="Arial" w:cs="Arial"/>
          <w:color w:val="000000"/>
          <w:kern w:val="0"/>
        </w:rPr>
        <w:t>viene</w:t>
      </w:r>
      <w:r w:rsidRPr="001D13E6">
        <w:rPr>
          <w:rFonts w:ascii="Arial" w:hAnsi="Arial" w:cs="Arial"/>
          <w:color w:val="000000"/>
          <w:kern w:val="0"/>
        </w:rPr>
        <w:t xml:space="preserve"> introdotta la sottoclasse </w:t>
      </w:r>
      <w:r w:rsidRPr="001D13E6">
        <w:rPr>
          <w:rFonts w:ascii="Arial" w:hAnsi="Arial" w:cs="Arial"/>
          <w:i/>
          <w:color w:val="000000"/>
          <w:kern w:val="0"/>
        </w:rPr>
        <w:t>Servizi di telecomunicazione bundle</w:t>
      </w:r>
      <w:r w:rsidRPr="001D13E6">
        <w:rPr>
          <w:rFonts w:ascii="Arial" w:hAnsi="Arial" w:cs="Arial"/>
          <w:color w:val="000000"/>
          <w:kern w:val="0"/>
        </w:rPr>
        <w:t xml:space="preserve"> ossia i servizi di telecomunicazione che riuniscono più servizi in un solo prodotto (TV, Internet e voce);</w:t>
      </w:r>
    </w:p>
    <w:p w:rsidR="000E79A9" w:rsidRPr="001D13E6" w:rsidRDefault="000E79A9" w:rsidP="000E79A9">
      <w:pPr>
        <w:widowControl/>
        <w:numPr>
          <w:ilvl w:val="0"/>
          <w:numId w:val="48"/>
        </w:numPr>
        <w:tabs>
          <w:tab w:val="num" w:pos="1843"/>
          <w:tab w:val="left" w:pos="2098"/>
        </w:tabs>
        <w:overflowPunct/>
        <w:spacing w:before="120" w:after="0"/>
        <w:ind w:left="1814" w:firstLine="0"/>
        <w:jc w:val="both"/>
        <w:rPr>
          <w:rFonts w:ascii="Arial" w:hAnsi="Arial" w:cs="Arial"/>
          <w:color w:val="000000"/>
          <w:kern w:val="0"/>
        </w:rPr>
      </w:pPr>
      <w:r w:rsidRPr="001D13E6">
        <w:rPr>
          <w:rFonts w:ascii="Arial" w:hAnsi="Arial" w:cs="Arial"/>
          <w:color w:val="000000"/>
          <w:kern w:val="0"/>
        </w:rPr>
        <w:t xml:space="preserve">i </w:t>
      </w:r>
      <w:r w:rsidRPr="001D13E6">
        <w:rPr>
          <w:rFonts w:ascii="Arial" w:hAnsi="Arial" w:cs="Arial"/>
          <w:i/>
          <w:color w:val="000000"/>
          <w:kern w:val="0"/>
        </w:rPr>
        <w:t xml:space="preserve">Servizi ricreativi e sportivi </w:t>
      </w:r>
      <w:r w:rsidRPr="001D13E6">
        <w:rPr>
          <w:rFonts w:ascii="Arial" w:hAnsi="Arial" w:cs="Arial"/>
          <w:color w:val="000000"/>
          <w:kern w:val="0"/>
        </w:rPr>
        <w:t>s</w:t>
      </w:r>
      <w:r>
        <w:rPr>
          <w:rFonts w:ascii="Arial" w:hAnsi="Arial" w:cs="Arial"/>
          <w:color w:val="000000"/>
          <w:kern w:val="0"/>
        </w:rPr>
        <w:t>o</w:t>
      </w:r>
      <w:r w:rsidRPr="001D13E6">
        <w:rPr>
          <w:rFonts w:ascii="Arial" w:hAnsi="Arial" w:cs="Arial"/>
          <w:color w:val="000000"/>
          <w:kern w:val="0"/>
        </w:rPr>
        <w:t>no distinti per tipo di fruizione:</w:t>
      </w:r>
      <w:bookmarkStart w:id="3" w:name="_GoBack"/>
      <w:bookmarkEnd w:id="3"/>
      <w:r w:rsidRPr="001D13E6">
        <w:rPr>
          <w:rFonts w:ascii="Arial" w:hAnsi="Arial" w:cs="Arial"/>
          <w:color w:val="000000"/>
          <w:kern w:val="0"/>
        </w:rPr>
        <w:t xml:space="preserve"> </w:t>
      </w:r>
      <w:r w:rsidRPr="001D13E6">
        <w:rPr>
          <w:rFonts w:ascii="Arial" w:hAnsi="Arial" w:cs="Arial"/>
          <w:i/>
          <w:color w:val="000000"/>
          <w:kern w:val="0"/>
        </w:rPr>
        <w:t>Servizi ricreativi e sportivi-fruizione come spettatore</w:t>
      </w:r>
      <w:r w:rsidRPr="001D13E6">
        <w:rPr>
          <w:rFonts w:ascii="Arial" w:hAnsi="Arial" w:cs="Arial"/>
          <w:color w:val="000000"/>
          <w:kern w:val="0"/>
        </w:rPr>
        <w:t xml:space="preserve"> e </w:t>
      </w:r>
      <w:r w:rsidRPr="001D13E6">
        <w:rPr>
          <w:rFonts w:ascii="Arial" w:hAnsi="Arial" w:cs="Arial"/>
          <w:i/>
          <w:color w:val="000000"/>
          <w:kern w:val="0"/>
        </w:rPr>
        <w:t>Servizi ricreativi e sportivi-fruizione come praticante</w:t>
      </w:r>
      <w:r w:rsidRPr="001D13E6">
        <w:rPr>
          <w:rFonts w:ascii="Arial" w:hAnsi="Arial" w:cs="Arial"/>
          <w:color w:val="000000"/>
          <w:kern w:val="0"/>
        </w:rPr>
        <w:t>.</w:t>
      </w:r>
    </w:p>
    <w:p w:rsidR="000E79A9" w:rsidRDefault="000E79A9" w:rsidP="000E79A9">
      <w:pPr>
        <w:widowControl/>
        <w:overflowPunct/>
        <w:spacing w:before="120" w:after="0"/>
        <w:ind w:left="1814"/>
        <w:jc w:val="both"/>
        <w:rPr>
          <w:rFonts w:ascii="Arial" w:hAnsi="Arial" w:cs="Arial"/>
        </w:rPr>
      </w:pPr>
      <w:r w:rsidRPr="008065DF">
        <w:rPr>
          <w:rFonts w:ascii="Arial" w:hAnsi="Arial" w:cs="Arial"/>
        </w:rPr>
        <w:t xml:space="preserve">Anche i segmenti di consumo, che rappresentano un’articolazione delle sottoclassi di prodotto messa a punto dall’Istat, sono stati resi coerenti con la ECOICOP e passano da 326 a 300; 280 di questi sono raccordabili con i precedenti. </w:t>
      </w:r>
    </w:p>
    <w:p w:rsidR="000E79A9" w:rsidRPr="001D13E6" w:rsidRDefault="000E79A9" w:rsidP="000E79A9">
      <w:pPr>
        <w:widowControl/>
        <w:overflowPunct/>
        <w:spacing w:before="120" w:after="0"/>
        <w:ind w:left="1814"/>
        <w:jc w:val="both"/>
        <w:rPr>
          <w:rFonts w:ascii="Arial" w:hAnsi="Arial" w:cs="Arial"/>
          <w:szCs w:val="21"/>
        </w:rPr>
      </w:pPr>
      <w:r w:rsidRPr="001D13E6">
        <w:rPr>
          <w:rFonts w:ascii="Arial" w:hAnsi="Arial" w:cs="Arial"/>
          <w:szCs w:val="21"/>
        </w:rPr>
        <w:t xml:space="preserve">I segmenti di consumo </w:t>
      </w:r>
      <w:r>
        <w:rPr>
          <w:rFonts w:ascii="Arial" w:hAnsi="Arial" w:cs="Arial"/>
          <w:szCs w:val="21"/>
        </w:rPr>
        <w:t>rappresentano</w:t>
      </w:r>
      <w:r w:rsidRPr="001D13E6">
        <w:rPr>
          <w:rFonts w:ascii="Arial" w:hAnsi="Arial" w:cs="Arial"/>
          <w:szCs w:val="21"/>
        </w:rPr>
        <w:t xml:space="preserve"> il livello più disaggregato per il quale sono diffusi gli indici NIC riferiti all’intero territorio nazionale</w:t>
      </w:r>
      <w:r w:rsidRPr="001D13E6">
        <w:rPr>
          <w:rFonts w:ascii="Arial" w:hAnsi="Arial" w:cs="Arial"/>
          <w:szCs w:val="21"/>
          <w:vertAlign w:val="superscript"/>
        </w:rPr>
        <w:footnoteReference w:id="1"/>
      </w:r>
      <w:r w:rsidRPr="001D13E6">
        <w:rPr>
          <w:rFonts w:ascii="Arial" w:hAnsi="Arial" w:cs="Arial"/>
          <w:szCs w:val="21"/>
        </w:rPr>
        <w:t xml:space="preserve">. Per gli indici IPCA il livello di dettaglio della diffusione </w:t>
      </w:r>
      <w:r>
        <w:rPr>
          <w:rFonts w:ascii="Arial" w:hAnsi="Arial" w:cs="Arial"/>
          <w:szCs w:val="21"/>
        </w:rPr>
        <w:t>è rappresentato dalle</w:t>
      </w:r>
      <w:r w:rsidRPr="001D13E6">
        <w:rPr>
          <w:rFonts w:ascii="Arial" w:hAnsi="Arial" w:cs="Arial"/>
          <w:szCs w:val="21"/>
        </w:rPr>
        <w:t xml:space="preserve"> classi di prodotto ma, nel corso del 2016, scenderà alle sottoclassi, tenendo conto delle scelte operate da Eurostat. Gli indici FOI nazionali s</w:t>
      </w:r>
      <w:r>
        <w:rPr>
          <w:rFonts w:ascii="Arial" w:hAnsi="Arial" w:cs="Arial"/>
          <w:szCs w:val="21"/>
        </w:rPr>
        <w:t>o</w:t>
      </w:r>
      <w:r w:rsidRPr="001D13E6">
        <w:rPr>
          <w:rFonts w:ascii="Arial" w:hAnsi="Arial" w:cs="Arial"/>
          <w:szCs w:val="21"/>
        </w:rPr>
        <w:t xml:space="preserve">no pubblicati fino alle divisioni di spesa. A livello territoriale (ripartizione, regione, provincia), la diffusione degli indici NIC </w:t>
      </w:r>
      <w:r>
        <w:rPr>
          <w:rFonts w:ascii="Arial" w:hAnsi="Arial" w:cs="Arial"/>
          <w:szCs w:val="21"/>
        </w:rPr>
        <w:t xml:space="preserve">viene effettuata </w:t>
      </w:r>
      <w:r w:rsidRPr="001D13E6">
        <w:rPr>
          <w:rFonts w:ascii="Arial" w:hAnsi="Arial" w:cs="Arial"/>
          <w:szCs w:val="21"/>
        </w:rPr>
        <w:t>fino ai gruppi di prodotto e degli indici FOI, per il solo livello provinciale, fino alle divisioni di spesa.</w:t>
      </w:r>
    </w:p>
    <w:p w:rsidR="000E79A9" w:rsidRPr="001D13E6" w:rsidRDefault="000E79A9" w:rsidP="000E79A9">
      <w:pPr>
        <w:widowControl/>
        <w:overflowPunct/>
        <w:spacing w:before="120" w:after="0"/>
        <w:ind w:left="1814"/>
        <w:jc w:val="both"/>
        <w:rPr>
          <w:rFonts w:ascii="Arial" w:hAnsi="Arial" w:cs="Arial"/>
        </w:rPr>
      </w:pPr>
      <w:r w:rsidRPr="001D13E6">
        <w:rPr>
          <w:rFonts w:ascii="Arial" w:hAnsi="Arial" w:cs="Arial"/>
        </w:rPr>
        <w:t>Inoltre, sono diffusi gli indici IPCA per aggregati speciali (</w:t>
      </w:r>
      <w:r w:rsidRPr="001D13E6">
        <w:rPr>
          <w:rFonts w:ascii="Arial" w:hAnsi="Arial" w:cs="Arial"/>
          <w:b/>
          <w:color w:val="333333"/>
        </w:rPr>
        <w:t>IPCA-AS</w:t>
      </w:r>
      <w:r w:rsidRPr="001D13E6">
        <w:rPr>
          <w:rFonts w:ascii="Arial" w:hAnsi="Arial" w:cs="Arial"/>
        </w:rPr>
        <w:t>), basati, analogamente alle tipologie di prodotto del NIC, su schemi classificatori alternativi alla classificazione COICOP-IPCA. Gli IPCA-AS vengono elaborati adottando lo stesso metodo di calcolo utilizzato dall’Eurostat (diverso, pertanto</w:t>
      </w:r>
      <w:r>
        <w:rPr>
          <w:rFonts w:ascii="Arial" w:hAnsi="Arial" w:cs="Arial"/>
        </w:rPr>
        <w:t>,</w:t>
      </w:r>
      <w:r w:rsidRPr="001D13E6">
        <w:rPr>
          <w:rFonts w:ascii="Arial" w:hAnsi="Arial" w:cs="Arial"/>
        </w:rPr>
        <w:t xml:space="preserve"> da quello utilizzato per le tipologie di prodotto del NIC), al fine di permettere una </w:t>
      </w:r>
      <w:r w:rsidRPr="001D13E6">
        <w:rPr>
          <w:rFonts w:ascii="Arial" w:hAnsi="Arial" w:cs="Arial"/>
        </w:rPr>
        <w:lastRenderedPageBreak/>
        <w:t>piena comparabilità tra gli indici italiani e quelli elaborati da Eurostat per l’Ue, la zona euro e gli altri paesi europei</w:t>
      </w:r>
      <w:r w:rsidRPr="001D13E6">
        <w:rPr>
          <w:rFonts w:ascii="Arial" w:hAnsi="Arial"/>
          <w:vertAlign w:val="superscript"/>
        </w:rPr>
        <w:footnoteReference w:id="2"/>
      </w:r>
      <w:r w:rsidRPr="001D13E6">
        <w:rPr>
          <w:rFonts w:ascii="Arial" w:hAnsi="Arial" w:cs="Arial"/>
        </w:rPr>
        <w:t xml:space="preserve">. </w:t>
      </w:r>
    </w:p>
    <w:p w:rsidR="000E79A9" w:rsidRPr="001D13E6" w:rsidRDefault="000E79A9" w:rsidP="000E79A9">
      <w:pPr>
        <w:spacing w:before="0" w:after="120"/>
        <w:ind w:left="1814" w:right="-1"/>
        <w:jc w:val="both"/>
        <w:rPr>
          <w:rFonts w:ascii="Arial" w:hAnsi="Arial" w:cs="Arial"/>
        </w:rPr>
      </w:pPr>
      <w:r w:rsidRPr="001D13E6">
        <w:rPr>
          <w:rFonts w:ascii="Arial" w:hAnsi="Arial" w:cs="Arial"/>
        </w:rPr>
        <w:t>Gli indici NIC, FOI e IPCA aggiornati sono pubblicati, in concomitanza con la diffusione del comunicato stampa, su I.Stat</w:t>
      </w:r>
      <w:r w:rsidRPr="001D13E6">
        <w:rPr>
          <w:rFonts w:ascii="Arial" w:hAnsi="Arial" w:cs="Arial"/>
          <w:szCs w:val="21"/>
        </w:rPr>
        <w:t>, il data-warehouse delle statistiche prodotte dall’Istituto, all’interno del tema “Prezzi”, sottotema “Prezzi al consumo” (</w:t>
      </w:r>
      <w:hyperlink r:id="rId58" w:history="1">
        <w:r w:rsidRPr="001D13E6">
          <w:rPr>
            <w:rFonts w:ascii="Arial" w:hAnsi="Arial" w:cs="Arial"/>
            <w:color w:val="0000FF"/>
            <w:u w:val="single"/>
          </w:rPr>
          <w:t>http://dati.istat.it/</w:t>
        </w:r>
      </w:hyperlink>
      <w:r w:rsidRPr="001D13E6">
        <w:rPr>
          <w:rFonts w:ascii="Arial" w:hAnsi="Arial" w:cs="Arial"/>
          <w:szCs w:val="21"/>
        </w:rPr>
        <w:t>). Sul data warehouse, oltre agli indici nazionali, sono pubblicati gli indici NIC per capoluogo di provincia, regione e ripartizione geografica e quelli FOI per capoluogo di provincia.</w:t>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t>Metodologia di rilevazione e calcolo degli indici dei prezzi dei prodotti stagionali</w:t>
      </w:r>
    </w:p>
    <w:p w:rsidR="000E79A9" w:rsidRPr="001D13E6" w:rsidRDefault="000E79A9" w:rsidP="000E79A9">
      <w:pPr>
        <w:spacing w:before="0" w:after="120"/>
        <w:ind w:left="1814"/>
        <w:jc w:val="both"/>
        <w:rPr>
          <w:rFonts w:ascii="Arial" w:hAnsi="Arial" w:cs="Arial"/>
        </w:rPr>
      </w:pPr>
      <w:r w:rsidRPr="001D13E6">
        <w:rPr>
          <w:rFonts w:ascii="Arial" w:hAnsi="Arial" w:cs="Arial"/>
        </w:rPr>
        <w:t>La metodologia di rilevazione e calcolo</w:t>
      </w:r>
      <w:r w:rsidRPr="001D13E6">
        <w:rPr>
          <w:rFonts w:ascii="Arial" w:hAnsi="Arial"/>
          <w:vertAlign w:val="superscript"/>
        </w:rPr>
        <w:footnoteReference w:id="3"/>
      </w:r>
      <w:r w:rsidRPr="001D13E6">
        <w:rPr>
          <w:rFonts w:ascii="Arial" w:hAnsi="Arial" w:cs="Arial"/>
        </w:rPr>
        <w:t xml:space="preserve"> degli indici dei prezzi dei prodotti stagionali è conforme alle norme previste dal Regolamento (CE) n. 330/2009 del 22 aprile 2009, per i prodotti stagionali appartenenti ai gruppi e classi di prodotti </w:t>
      </w:r>
      <w:r w:rsidRPr="001D13E6">
        <w:rPr>
          <w:rFonts w:ascii="Arial" w:hAnsi="Arial" w:cs="Arial"/>
          <w:i/>
        </w:rPr>
        <w:t>Frutta,</w:t>
      </w:r>
      <w:r w:rsidRPr="001D13E6">
        <w:rPr>
          <w:rFonts w:ascii="Arial" w:hAnsi="Arial" w:cs="Arial"/>
        </w:rPr>
        <w:t xml:space="preserve"> </w:t>
      </w:r>
      <w:r w:rsidRPr="001D13E6">
        <w:rPr>
          <w:rFonts w:ascii="Arial" w:hAnsi="Arial" w:cs="Arial"/>
          <w:i/>
        </w:rPr>
        <w:t>Vegetali, Abbigliamento e Calzature</w:t>
      </w:r>
      <w:r w:rsidRPr="001D13E6">
        <w:rPr>
          <w:rFonts w:ascii="Arial" w:hAnsi="Arial" w:cs="Arial"/>
        </w:rPr>
        <w:t>.</w:t>
      </w:r>
    </w:p>
    <w:p w:rsidR="000E79A9" w:rsidRPr="001D13E6" w:rsidRDefault="000E79A9" w:rsidP="000E79A9">
      <w:pPr>
        <w:spacing w:before="0" w:after="120"/>
        <w:ind w:left="1814"/>
        <w:jc w:val="both"/>
        <w:rPr>
          <w:rFonts w:ascii="Arial" w:hAnsi="Arial" w:cs="Arial"/>
        </w:rPr>
      </w:pPr>
      <w:r w:rsidRPr="001D13E6">
        <w:rPr>
          <w:rFonts w:ascii="Arial" w:hAnsi="Arial" w:cs="Arial"/>
        </w:rPr>
        <w:t xml:space="preserve">Secondo il citato Regolamento si definisce </w:t>
      </w:r>
      <w:r w:rsidRPr="001D13E6">
        <w:rPr>
          <w:rFonts w:ascii="Arial" w:hAnsi="Arial" w:cs="Arial"/>
          <w:i/>
        </w:rPr>
        <w:t>prodotto stagionale</w:t>
      </w:r>
      <w:r w:rsidRPr="001D13E6">
        <w:rPr>
          <w:rFonts w:ascii="Arial" w:hAnsi="Arial" w:cs="Arial"/>
        </w:rPr>
        <w:t xml:space="preserve"> il bene o servizio non acquistabile o acquistato in volumi modesti o irrilevanti dai consumatori, in alcuni periodi dell’anno (almeno un mese). </w:t>
      </w:r>
    </w:p>
    <w:p w:rsidR="000E79A9" w:rsidRPr="001D13E6" w:rsidRDefault="000E79A9" w:rsidP="000E79A9">
      <w:pPr>
        <w:spacing w:before="0" w:after="120"/>
        <w:ind w:left="1814"/>
        <w:jc w:val="both"/>
        <w:rPr>
          <w:rFonts w:ascii="Arial" w:hAnsi="Arial" w:cs="Arial"/>
        </w:rPr>
      </w:pPr>
      <w:r w:rsidRPr="001D13E6">
        <w:rPr>
          <w:rFonts w:ascii="Arial" w:hAnsi="Arial" w:cs="Arial"/>
        </w:rPr>
        <w:t xml:space="preserve">L’Istat ha definito un calendario mensile per tutto il 2016, che stabilisce quando ciascuno specifico prodotto, appartenente ai gruppi o alle classi sopra indicate, deve essere considerato </w:t>
      </w:r>
      <w:r w:rsidRPr="001D13E6">
        <w:rPr>
          <w:rFonts w:ascii="Arial" w:hAnsi="Arial" w:cs="Arial"/>
          <w:i/>
        </w:rPr>
        <w:t>in stagione</w:t>
      </w:r>
      <w:r w:rsidRPr="001D13E6">
        <w:rPr>
          <w:rFonts w:ascii="Arial" w:hAnsi="Arial" w:cs="Arial"/>
        </w:rPr>
        <w:t xml:space="preserve"> oppure </w:t>
      </w:r>
      <w:r w:rsidRPr="001D13E6">
        <w:rPr>
          <w:rFonts w:ascii="Arial" w:hAnsi="Arial" w:cs="Arial"/>
          <w:i/>
        </w:rPr>
        <w:t>fuori stagione</w:t>
      </w:r>
      <w:r w:rsidRPr="001D13E6">
        <w:rPr>
          <w:rFonts w:ascii="Arial" w:hAnsi="Arial" w:cs="Arial"/>
        </w:rPr>
        <w:t xml:space="preserve">. L’adozione di un calendario della stagionalità comporta l’effettuazione della rilevazione territoriale dei prezzi al consumo solo nei mesi in cui il prodotto in questione è definito </w:t>
      </w:r>
      <w:r w:rsidRPr="001D13E6">
        <w:rPr>
          <w:rFonts w:ascii="Arial" w:hAnsi="Arial" w:cs="Arial"/>
          <w:i/>
        </w:rPr>
        <w:t>in stagione</w:t>
      </w:r>
      <w:r w:rsidRPr="001D13E6">
        <w:rPr>
          <w:rFonts w:ascii="Arial" w:hAnsi="Arial" w:cs="Arial"/>
        </w:rPr>
        <w:t xml:space="preserve"> e, di conseguenza, la stima degli indici dei prezzi dei prodotti </w:t>
      </w:r>
      <w:r w:rsidRPr="001D13E6">
        <w:rPr>
          <w:rFonts w:ascii="Arial" w:hAnsi="Arial" w:cs="Arial"/>
          <w:i/>
        </w:rPr>
        <w:t>fuori stagione</w:t>
      </w:r>
      <w:r w:rsidRPr="001D13E6">
        <w:rPr>
          <w:rFonts w:ascii="Arial" w:hAnsi="Arial" w:cs="Arial"/>
        </w:rPr>
        <w:t xml:space="preserve"> sulla base di una metodologia coerente con le indicazioni contenute nel Regolamento europeo.</w:t>
      </w:r>
    </w:p>
    <w:p w:rsidR="000E79A9" w:rsidRPr="001D13E6" w:rsidRDefault="000E79A9" w:rsidP="000E79A9">
      <w:pPr>
        <w:spacing w:before="360" w:after="120"/>
        <w:ind w:left="1814"/>
        <w:jc w:val="both"/>
        <w:rPr>
          <w:rFonts w:ascii="Arial" w:hAnsi="Arial" w:cs="Arial"/>
          <w:b/>
          <w:sz w:val="22"/>
          <w:szCs w:val="22"/>
        </w:rPr>
      </w:pPr>
      <w:r w:rsidRPr="001D13E6">
        <w:rPr>
          <w:rFonts w:ascii="Arial" w:hAnsi="Arial" w:cs="Arial"/>
          <w:b/>
          <w:sz w:val="22"/>
          <w:szCs w:val="22"/>
        </w:rPr>
        <w:t>Base territoriale, grado di copertura dell’indagine, periodo e frequenza di rilevazione</w:t>
      </w:r>
    </w:p>
    <w:p w:rsidR="000E79A9" w:rsidRPr="001D13E6" w:rsidRDefault="000E79A9" w:rsidP="000E79A9">
      <w:pPr>
        <w:spacing w:before="0" w:after="120"/>
        <w:ind w:left="1814"/>
        <w:jc w:val="both"/>
        <w:rPr>
          <w:rFonts w:ascii="Arial" w:hAnsi="Arial" w:cs="Arial"/>
          <w:szCs w:val="21"/>
        </w:rPr>
      </w:pPr>
      <w:r w:rsidRPr="001D13E6">
        <w:rPr>
          <w:rFonts w:ascii="Arial" w:hAnsi="Arial" w:cs="Arial"/>
          <w:szCs w:val="21"/>
        </w:rPr>
        <w:t>I dati che concorrono alla costruzione degli indici mensili dei prezzi al consumo sono raccolti attraverso due distinte rilevazioni: la rilevazione territoriale, condotta dagli Uffici comunali di statistica, e quella centralizzata, effettuata direttamente dall’Istat.</w:t>
      </w:r>
    </w:p>
    <w:p w:rsidR="000E79A9" w:rsidRPr="001D13E6" w:rsidRDefault="000E79A9" w:rsidP="000E79A9">
      <w:pPr>
        <w:spacing w:before="0" w:after="120"/>
        <w:ind w:left="1814"/>
        <w:jc w:val="both"/>
        <w:rPr>
          <w:rFonts w:ascii="Arial" w:hAnsi="Arial" w:cs="Arial"/>
          <w:szCs w:val="21"/>
        </w:rPr>
      </w:pPr>
      <w:r w:rsidRPr="001D13E6">
        <w:rPr>
          <w:rFonts w:ascii="Arial" w:hAnsi="Arial" w:cs="Arial"/>
          <w:szCs w:val="21"/>
        </w:rPr>
        <w:t>Nel 2016</w:t>
      </w:r>
      <w:r>
        <w:rPr>
          <w:rFonts w:ascii="Arial" w:hAnsi="Arial" w:cs="Arial"/>
          <w:szCs w:val="21"/>
        </w:rPr>
        <w:t xml:space="preserve"> </w:t>
      </w:r>
      <w:r w:rsidRPr="001D13E6">
        <w:rPr>
          <w:rFonts w:ascii="Arial" w:hAnsi="Arial" w:cs="Arial"/>
          <w:szCs w:val="21"/>
        </w:rPr>
        <w:t>la base territoriale della rilevazione è costituita da 80 comuni (19 capoluoghi di regione e 61 capoluoghi di provincia), che concorrono al calcolo degli indici per tutte gli aggregati di prodotto inclusi nel paniere, e da 16 comuni (di cui 14 capoluoghi di provincia)</w:t>
      </w:r>
      <w:r w:rsidRPr="001D13E6">
        <w:rPr>
          <w:rFonts w:ascii="Arial" w:hAnsi="Arial"/>
          <w:szCs w:val="21"/>
          <w:vertAlign w:val="superscript"/>
        </w:rPr>
        <w:footnoteReference w:id="4"/>
      </w:r>
      <w:r w:rsidRPr="001D13E6">
        <w:rPr>
          <w:rFonts w:ascii="Arial" w:hAnsi="Arial" w:cs="Arial"/>
          <w:szCs w:val="21"/>
        </w:rPr>
        <w:t xml:space="preserve"> che partecipano al calcolo degli indici per un sottoinsieme di prodotti </w:t>
      </w:r>
      <w:r w:rsidRPr="001D13E6">
        <w:rPr>
          <w:rFonts w:ascii="Arial" w:hAnsi="Arial" w:cs="Arial"/>
        </w:rPr>
        <w:t>riferito alle tariffe locali (fornitura acqua, raccolta rifiuti, raccolta acque reflue, gas, trasporti urbani, taxi, trasferimento proprietà auto, mense scolastiche, nido d’infanzia comunale, ecc.), ad alcuni servizi locali (operaio edile, partite di calcio, cinema, spettacoli teatrali, istruzione secondaria superiore, mense universitarie, ecc.) e ai carburanti.</w:t>
      </w:r>
    </w:p>
    <w:p w:rsidR="000E79A9" w:rsidRPr="001D13E6" w:rsidRDefault="000E79A9" w:rsidP="000E79A9">
      <w:pPr>
        <w:spacing w:before="0" w:after="120"/>
        <w:ind w:left="1814"/>
        <w:jc w:val="both"/>
        <w:rPr>
          <w:rFonts w:ascii="Arial" w:hAnsi="Arial" w:cs="Arial"/>
          <w:szCs w:val="21"/>
        </w:rPr>
      </w:pPr>
      <w:r w:rsidRPr="001D13E6">
        <w:rPr>
          <w:rFonts w:ascii="Arial" w:hAnsi="Arial" w:cs="Arial"/>
          <w:szCs w:val="21"/>
        </w:rPr>
        <w:t>La copertura dell’indice, misurata in termini di popolazione residente nelle province i cui capoluoghi partecipano alla rilevazione dei prezzi di tutti i prodotti del paniere, è pari all’83,5%.</w:t>
      </w:r>
    </w:p>
    <w:p w:rsidR="000E79A9" w:rsidRPr="001D13E6" w:rsidRDefault="000E79A9" w:rsidP="000E79A9">
      <w:pPr>
        <w:spacing w:before="0" w:after="120"/>
        <w:ind w:left="1814"/>
        <w:jc w:val="both"/>
        <w:rPr>
          <w:rFonts w:ascii="Arial" w:hAnsi="Arial" w:cs="Arial"/>
        </w:rPr>
      </w:pPr>
      <w:r w:rsidRPr="001D13E6">
        <w:rPr>
          <w:rFonts w:ascii="Arial" w:hAnsi="Arial" w:cs="Arial"/>
          <w:szCs w:val="21"/>
        </w:rPr>
        <w:t xml:space="preserve">Per il sottoinsieme del paniere relativo alle tariffe locali e ad alcuni servizi, il cui peso </w:t>
      </w:r>
      <w:r w:rsidRPr="001D13E6">
        <w:rPr>
          <w:rFonts w:ascii="Arial" w:hAnsi="Arial" w:cs="Arial"/>
        </w:rPr>
        <w:t>sul paniere complessivo dell’indice NIC è dell 8,9%,</w:t>
      </w:r>
      <w:r w:rsidRPr="001D13E6">
        <w:rPr>
          <w:rFonts w:ascii="Arial" w:hAnsi="Arial" w:cs="Arial"/>
          <w:szCs w:val="21"/>
        </w:rPr>
        <w:t xml:space="preserve"> con la partecipazione di altri 14 comuni capoluoghi di provincia la copertura dell’indagine, in termini di popolazione provinciale, sale al 92,4%.</w:t>
      </w:r>
      <w:r w:rsidRPr="001D13E6">
        <w:rPr>
          <w:rFonts w:ascii="Arial" w:hAnsi="Arial" w:cs="Arial"/>
        </w:rPr>
        <w:t xml:space="preserve"> </w:t>
      </w:r>
    </w:p>
    <w:p w:rsidR="000E79A9" w:rsidRPr="001D13E6" w:rsidRDefault="000E79A9" w:rsidP="000E79A9">
      <w:pPr>
        <w:spacing w:before="0" w:after="120"/>
        <w:ind w:left="1814" w:right="-1"/>
        <w:jc w:val="both"/>
        <w:rPr>
          <w:rFonts w:ascii="Arial" w:hAnsi="Arial" w:cs="Arial"/>
          <w:szCs w:val="21"/>
        </w:rPr>
      </w:pPr>
      <w:r w:rsidRPr="001D13E6">
        <w:rPr>
          <w:rFonts w:ascii="Arial" w:hAnsi="Arial" w:cs="Arial"/>
        </w:rPr>
        <w:t>I prezzi dei prodotti componenti il paniere vengono rilevati presso più di  42.300 unità di rilevazione (tra punti vendita, imprese e istituzioni), alle quali si aggiungono quasi 8.000 abitazioni per la rilevazione dei canoni d’affitto. L</w:t>
      </w:r>
      <w:r w:rsidRPr="001D13E6">
        <w:rPr>
          <w:rFonts w:ascii="Arial" w:hAnsi="Arial" w:cs="Arial"/>
          <w:szCs w:val="21"/>
        </w:rPr>
        <w:t>e quotazioni inviate mensilmente all’Istat dagli Uffici comunali di statistica ammontano a 495.500.</w:t>
      </w:r>
    </w:p>
    <w:p w:rsidR="000E79A9" w:rsidRPr="001D13E6" w:rsidRDefault="000E79A9" w:rsidP="000E79A9">
      <w:pPr>
        <w:spacing w:before="120" w:after="60"/>
        <w:ind w:left="1814"/>
        <w:jc w:val="both"/>
        <w:rPr>
          <w:rFonts w:ascii="Arial" w:hAnsi="Arial" w:cs="Arial"/>
        </w:rPr>
      </w:pPr>
      <w:r w:rsidRPr="001D13E6">
        <w:rPr>
          <w:rFonts w:ascii="Arial" w:hAnsi="Arial" w:cs="Arial"/>
        </w:rPr>
        <w:t xml:space="preserve">Nel 2016, sono 111.500 le quotazioni di prezzo rilevate ogni mese centralmente dall’Istat di cui </w:t>
      </w:r>
      <w:r w:rsidRPr="001D13E6">
        <w:rPr>
          <w:rFonts w:ascii="Arial" w:hAnsi="Arial" w:cs="Arial"/>
        </w:rPr>
        <w:lastRenderedPageBreak/>
        <w:t>3.600 raccolte attraverso la base dati del Ministero dello Sviluppo economico.</w:t>
      </w:r>
    </w:p>
    <w:p w:rsidR="000E79A9" w:rsidRPr="001D13E6" w:rsidRDefault="000E79A9" w:rsidP="000E79A9">
      <w:pPr>
        <w:spacing w:before="120" w:after="60"/>
        <w:ind w:left="1814"/>
        <w:jc w:val="both"/>
        <w:rPr>
          <w:rFonts w:ascii="Arial" w:hAnsi="Arial" w:cs="Arial"/>
        </w:rPr>
      </w:pPr>
      <w:r w:rsidRPr="001D13E6">
        <w:rPr>
          <w:rFonts w:ascii="Arial" w:hAnsi="Arial" w:cs="Arial"/>
        </w:rPr>
        <w:t>La raccolta dei prezzi da parte dell’Istat viene effettuata tramite web, anche con l’utilizzo di procedure di raccolta automatica dei dati da web (tecniche di web scraping per circa 13.000 quotazioni) o acquisendo informazioni da diversi soggetti. Tra i principali fornitori di informazioni utili al calcolo degli indici dei prezzi al consumo è possibile elencare i seguenti:</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rPr>
      </w:pPr>
      <w:r w:rsidRPr="001D13E6">
        <w:rPr>
          <w:rFonts w:ascii="Arial" w:hAnsi="Arial" w:cs="Arial"/>
        </w:rPr>
        <w:t>Agenzia delle dogane e dei monopoli, con riferimento ai prezzi dei Tabacchi e dei Concorsi pronostici;</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rPr>
      </w:pPr>
      <w:r w:rsidRPr="001D13E6">
        <w:rPr>
          <w:rFonts w:ascii="Arial" w:hAnsi="Arial" w:cs="Arial"/>
        </w:rPr>
        <w:t>Associazione Italiana Società Concessionarie Autostrade e Trafori (Aiscat) per i dati relativi ai pedaggi autostradali;</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rPr>
      </w:pPr>
      <w:r w:rsidRPr="001D13E6">
        <w:rPr>
          <w:rFonts w:ascii="Arial" w:hAnsi="Arial" w:cs="Arial"/>
        </w:rPr>
        <w:t>Farmadati, per tutti i prezzi dei farmaci di fascia A e C COP;</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rPr>
      </w:pPr>
      <w:r w:rsidRPr="001D13E6">
        <w:rPr>
          <w:rFonts w:ascii="Arial" w:hAnsi="Arial" w:cs="Arial"/>
        </w:rPr>
        <w:t>Associazione Italiana degli Editori (AIE), per i prezzi dei libri scolastici;</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rPr>
      </w:pPr>
      <w:r w:rsidRPr="001D13E6">
        <w:rPr>
          <w:rFonts w:ascii="Arial" w:hAnsi="Arial" w:cs="Arial"/>
        </w:rPr>
        <w:t>la rivista Quattroruote, per le quotazioni delle automobili e in particolare delle Automobili usate che, a partire dai dati di dicembre 2015, vengono fornite mensilmente a Istat.</w:t>
      </w:r>
    </w:p>
    <w:p w:rsidR="000E79A9" w:rsidRPr="001D13E6" w:rsidRDefault="000E79A9" w:rsidP="000E79A9">
      <w:pPr>
        <w:spacing w:before="120" w:after="60"/>
        <w:ind w:left="1814"/>
        <w:jc w:val="both"/>
        <w:rPr>
          <w:rFonts w:ascii="Arial" w:hAnsi="Arial" w:cs="Arial"/>
        </w:rPr>
      </w:pPr>
      <w:r w:rsidRPr="001D13E6">
        <w:rPr>
          <w:rFonts w:ascii="Arial" w:hAnsi="Arial" w:cs="Arial"/>
        </w:rPr>
        <w:t>L’incidenza dei prodotti rilevati direttamente dall’Istat (calcolata in base al peso che ciascun prodotto assume all’interno dell’indice NIC) è pari, nel 2016, al 23,6% (23,1% nel 2015).</w:t>
      </w:r>
    </w:p>
    <w:p w:rsidR="000E79A9" w:rsidRPr="001D13E6" w:rsidRDefault="000E79A9" w:rsidP="000E79A9">
      <w:pPr>
        <w:spacing w:before="120" w:after="60"/>
        <w:ind w:left="1814"/>
        <w:jc w:val="both"/>
        <w:rPr>
          <w:rFonts w:ascii="Arial" w:hAnsi="Arial" w:cs="Arial"/>
          <w:szCs w:val="21"/>
        </w:rPr>
      </w:pPr>
      <w:r w:rsidRPr="001D13E6">
        <w:rPr>
          <w:rFonts w:ascii="Arial" w:hAnsi="Arial" w:cs="Arial"/>
          <w:szCs w:val="21"/>
        </w:rPr>
        <w:t>Per la modalità territoriale di raccolta dei dati, la rilevazione dei prezzi al consumo viene effettuata, nei primi 15 giorni lavorativi del mese e nello specifico:</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 xml:space="preserve">due volte al mese per prodotti con elevata variabilità di prezzo (frutta, vegetali e prodotti ittici freschi, carburanti da autotrazione e da riscaldamento); </w:t>
      </w:r>
    </w:p>
    <w:p w:rsidR="000E79A9" w:rsidRPr="001D13E6" w:rsidRDefault="000E79A9" w:rsidP="000E79A9">
      <w:pPr>
        <w:widowControl/>
        <w:numPr>
          <w:ilvl w:val="0"/>
          <w:numId w:val="37"/>
        </w:numPr>
        <w:tabs>
          <w:tab w:val="clear" w:pos="720"/>
        </w:tabs>
        <w:spacing w:before="0" w:after="120"/>
        <w:ind w:left="1814" w:firstLine="0"/>
        <w:jc w:val="both"/>
        <w:rPr>
          <w:rFonts w:ascii="Arial" w:hAnsi="Arial" w:cs="Arial"/>
          <w:szCs w:val="21"/>
        </w:rPr>
      </w:pPr>
      <w:r w:rsidRPr="001D13E6">
        <w:rPr>
          <w:rFonts w:ascii="Arial" w:hAnsi="Arial" w:cs="Arial"/>
          <w:szCs w:val="21"/>
        </w:rPr>
        <w:t>una volta al mese per la parte restante dei prodotti del paniere. Per alcuni beni o servizi, quali ad esempio acqua potabile, gas di rete per uso domestico, trasporto urbano su bus e multimodale, taxi o per i ticket per analisi, visite specialistiche, fisioterapia ed esami diagnostici, viene rilevato il prezzo applicato il giorno 15 del mese cui si riferisce la rilevazione.</w:t>
      </w:r>
    </w:p>
    <w:p w:rsidR="000E79A9" w:rsidRPr="001D13E6" w:rsidRDefault="000E79A9" w:rsidP="000E79A9">
      <w:pPr>
        <w:widowControl/>
        <w:spacing w:before="0" w:after="120"/>
        <w:ind w:left="1814"/>
        <w:jc w:val="both"/>
        <w:rPr>
          <w:rFonts w:ascii="Arial" w:hAnsi="Arial" w:cs="Arial"/>
          <w:szCs w:val="21"/>
        </w:rPr>
      </w:pPr>
      <w:r w:rsidRPr="001D13E6">
        <w:rPr>
          <w:rFonts w:ascii="Arial" w:hAnsi="Arial" w:cs="Arial"/>
          <w:szCs w:val="21"/>
        </w:rPr>
        <w:t>Per la modalità centralizzata di raccolta dei dati, la rilevazione dei prezzi al consumo viene generalmente effettuata una volta al mese, nei primi 15 giorni lavorativi del mese di riferimento dei dati, ma con alcune eccezioni:</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 xml:space="preserve">per alcuni beni e servizi quali tabacchi, concorsi pronostici, medicinali, servizi di telecomunicazione, trasporto ferroviario regionali, servizio di cuccetta e vagone letto, autolinee extraurbane, servizi postali, pedaggi autostradali, trasferimenti di proprietà e revisione auto, viene rilevato il prezzo applicato il giorno 15 del mese cui si riferisce la rilevazione; </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per i trasporti ferroviari nazionali, il prezzo del biglietto con partenza in una data prefissata viene rilevato tre volte al mese, ovvero con tre diversi anticipi di acquisto rispetto la data stessa;</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per i servizi di trasporto aereo e di navigazione marittima, la rilevazione viene effettuata due volte al mese e in ciascun momento di rilevazione si registrano i prezzi del biglietto acquistato con due diversi anticipi rispetto alla partenza;</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per i periodici, la rilevazione viene effettuata due volte al mese, nella prima e nella terza settimana;</w:t>
      </w:r>
    </w:p>
    <w:p w:rsidR="000E79A9" w:rsidRPr="001D13E6" w:rsidRDefault="000E79A9" w:rsidP="000E79A9">
      <w:pPr>
        <w:widowControl/>
        <w:numPr>
          <w:ilvl w:val="0"/>
          <w:numId w:val="37"/>
        </w:numPr>
        <w:tabs>
          <w:tab w:val="clear" w:pos="720"/>
        </w:tabs>
        <w:spacing w:before="0" w:after="0"/>
        <w:ind w:left="1814" w:firstLine="0"/>
        <w:jc w:val="both"/>
        <w:rPr>
          <w:rFonts w:ascii="Arial" w:hAnsi="Arial" w:cs="Arial"/>
          <w:szCs w:val="21"/>
        </w:rPr>
      </w:pPr>
      <w:r w:rsidRPr="001D13E6">
        <w:rPr>
          <w:rFonts w:ascii="Arial" w:hAnsi="Arial" w:cs="Arial"/>
          <w:szCs w:val="21"/>
        </w:rPr>
        <w:t>per i giornali quotidiani, la rilevazione viene effettuata ogni giorno dal 9 al 15 del mese;</w:t>
      </w:r>
    </w:p>
    <w:p w:rsidR="000E79A9" w:rsidRPr="001D13E6" w:rsidRDefault="000E79A9" w:rsidP="000E79A9">
      <w:pPr>
        <w:spacing w:before="0" w:after="0"/>
        <w:ind w:left="1814" w:right="-1"/>
        <w:jc w:val="both"/>
        <w:rPr>
          <w:rFonts w:ascii="Arial" w:hAnsi="Arial" w:cs="Arial"/>
        </w:rPr>
      </w:pPr>
      <w:r w:rsidRPr="001D13E6">
        <w:rPr>
          <w:rFonts w:ascii="Arial" w:hAnsi="Arial" w:cs="Arial"/>
          <w:szCs w:val="21"/>
        </w:rPr>
        <w:t>per i servizi turistici, ricreativi e culturali (Ingresso ai parchi di divertimento, Stabilimento balneare, Impianti di risalita, ecc.) vengono rilevati i prezzi in vigore in ciascun giorno del mese</w:t>
      </w:r>
      <w:r w:rsidRPr="001D13E6">
        <w:rPr>
          <w:rFonts w:ascii="Arial" w:hAnsi="Arial" w:cs="Arial"/>
        </w:rPr>
        <w:t>.</w:t>
      </w:r>
    </w:p>
    <w:p w:rsidR="000E79A9" w:rsidRPr="001D13E6" w:rsidRDefault="000E79A9" w:rsidP="000E79A9">
      <w:pPr>
        <w:widowControl/>
        <w:overflowPunct/>
        <w:autoSpaceDE/>
        <w:autoSpaceDN/>
        <w:adjustRightInd/>
        <w:spacing w:before="0" w:after="0"/>
        <w:rPr>
          <w:rFonts w:ascii="Arial" w:hAnsi="Arial" w:cs="Arial"/>
          <w:b/>
          <w:color w:val="333333"/>
          <w:sz w:val="22"/>
          <w:szCs w:val="22"/>
        </w:rPr>
      </w:pPr>
      <w:r w:rsidRPr="001D13E6">
        <w:rPr>
          <w:rFonts w:ascii="Arial" w:hAnsi="Arial" w:cs="Arial"/>
          <w:b/>
          <w:color w:val="333333"/>
          <w:sz w:val="22"/>
          <w:szCs w:val="22"/>
        </w:rPr>
        <w:br w:type="page"/>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lastRenderedPageBreak/>
        <w:t>Struttura di ponderazione</w:t>
      </w:r>
    </w:p>
    <w:p w:rsidR="000E79A9" w:rsidRPr="001D13E6" w:rsidRDefault="000E79A9" w:rsidP="000E79A9">
      <w:pPr>
        <w:spacing w:before="0" w:after="120"/>
        <w:ind w:left="1814"/>
        <w:jc w:val="both"/>
        <w:rPr>
          <w:rFonts w:ascii="Arial" w:hAnsi="Arial" w:cs="Arial"/>
        </w:rPr>
      </w:pPr>
      <w:r w:rsidRPr="001D13E6">
        <w:rPr>
          <w:rFonts w:ascii="Arial" w:hAnsi="Arial" w:cs="Arial"/>
        </w:rPr>
        <w:t>Nel prospetto 1 è riportata la struttura dei pesi per divisione di spesa utilizzata per il calcolo dei tre indici dei prezzi al consumo (NIC, IPCA e FOI).</w:t>
      </w:r>
    </w:p>
    <w:p w:rsidR="000E79A9" w:rsidRPr="001D13E6" w:rsidRDefault="000E79A9" w:rsidP="000E79A9">
      <w:pPr>
        <w:spacing w:before="240" w:after="60"/>
        <w:ind w:left="1814"/>
        <w:jc w:val="both"/>
        <w:rPr>
          <w:rFonts w:ascii="Arial Narrow" w:hAnsi="Arial Narrow" w:cs="Arial"/>
          <w:sz w:val="19"/>
          <w:szCs w:val="19"/>
        </w:rPr>
      </w:pPr>
      <w:r w:rsidRPr="001D13E6">
        <w:rPr>
          <w:rFonts w:ascii="Arial Narrow" w:hAnsi="Arial Narrow" w:cs="Arial"/>
          <w:b/>
          <w:color w:val="5F5F5F"/>
        </w:rPr>
        <w:t>PROSPETTO 1. PESI UTILIZZATI PER IL CALCOLO DEGLI INDICI NAZIONALI DEI PREZZI AL CONSUMO, PER DIVISIONI DI SPESA</w:t>
      </w:r>
      <w:r w:rsidRPr="001D13E6">
        <w:rPr>
          <w:rFonts w:ascii="Arial Narrow" w:hAnsi="Arial Narrow" w:cs="Arial"/>
          <w:b/>
          <w:color w:val="5F5F5F"/>
        </w:rPr>
        <w:br/>
      </w:r>
      <w:r w:rsidRPr="001D13E6">
        <w:rPr>
          <w:rFonts w:ascii="Arial Narrow" w:hAnsi="Arial Narrow" w:cs="Arial"/>
          <w:sz w:val="19"/>
          <w:szCs w:val="19"/>
        </w:rPr>
        <w:t xml:space="preserve">Anno 2016, valori percentuali </w:t>
      </w:r>
    </w:p>
    <w:tbl>
      <w:tblPr>
        <w:tblW w:w="8789" w:type="dxa"/>
        <w:tblInd w:w="1913" w:type="dxa"/>
        <w:tblCellMar>
          <w:left w:w="70" w:type="dxa"/>
          <w:right w:w="70" w:type="dxa"/>
        </w:tblCellMar>
        <w:tblLook w:val="00A0" w:firstRow="1" w:lastRow="0" w:firstColumn="1" w:lastColumn="0" w:noHBand="0" w:noVBand="0"/>
      </w:tblPr>
      <w:tblGrid>
        <w:gridCol w:w="6"/>
        <w:gridCol w:w="3257"/>
        <w:gridCol w:w="1842"/>
        <w:gridCol w:w="1842"/>
        <w:gridCol w:w="1842"/>
      </w:tblGrid>
      <w:tr w:rsidR="000E79A9" w:rsidRPr="001D13E6" w:rsidTr="000E79A9">
        <w:trPr>
          <w:trHeight w:val="315"/>
        </w:trPr>
        <w:tc>
          <w:tcPr>
            <w:tcW w:w="3263" w:type="dxa"/>
            <w:gridSpan w:val="2"/>
            <w:vMerge w:val="restart"/>
            <w:tcBorders>
              <w:top w:val="single" w:sz="8" w:space="0" w:color="auto"/>
              <w:left w:val="nil"/>
              <w:bottom w:val="single" w:sz="8" w:space="0" w:color="000000"/>
              <w:right w:val="nil"/>
            </w:tcBorders>
            <w:shd w:val="clear" w:color="000000" w:fill="FFFFFF"/>
            <w:vAlign w:val="center"/>
          </w:tcPr>
          <w:p w:rsidR="000E79A9" w:rsidRPr="001D13E6" w:rsidRDefault="000E79A9" w:rsidP="00081300">
            <w:pPr>
              <w:widowControl/>
              <w:overflowPunct/>
              <w:autoSpaceDE/>
              <w:autoSpaceDN/>
              <w:adjustRightInd/>
              <w:spacing w:before="0" w:after="0"/>
              <w:rPr>
                <w:rFonts w:ascii="Arial Narrow" w:hAnsi="Arial Narrow" w:cs="Calibri"/>
                <w:b/>
                <w:bCs/>
                <w:color w:val="000000"/>
                <w:kern w:val="0"/>
                <w:sz w:val="18"/>
                <w:szCs w:val="18"/>
              </w:rPr>
            </w:pPr>
            <w:r w:rsidRPr="001D13E6">
              <w:rPr>
                <w:rFonts w:ascii="Arial Narrow" w:hAnsi="Arial Narrow" w:cs="Calibri"/>
                <w:b/>
                <w:bCs/>
                <w:color w:val="000000"/>
                <w:kern w:val="0"/>
                <w:sz w:val="18"/>
                <w:szCs w:val="18"/>
              </w:rPr>
              <w:t>Divisioni di spesa</w:t>
            </w:r>
          </w:p>
        </w:tc>
        <w:tc>
          <w:tcPr>
            <w:tcW w:w="5526" w:type="dxa"/>
            <w:gridSpan w:val="3"/>
            <w:tcBorders>
              <w:top w:val="single" w:sz="8" w:space="0" w:color="auto"/>
              <w:left w:val="nil"/>
              <w:bottom w:val="single" w:sz="8" w:space="0" w:color="auto"/>
              <w:right w:val="nil"/>
            </w:tcBorders>
            <w:shd w:val="clear" w:color="000000" w:fill="FFFFFF"/>
            <w:vAlign w:val="center"/>
          </w:tcPr>
          <w:p w:rsidR="000E79A9" w:rsidRPr="001D13E6" w:rsidRDefault="000E79A9" w:rsidP="00081300">
            <w:pPr>
              <w:widowControl/>
              <w:overflowPunct/>
              <w:autoSpaceDE/>
              <w:autoSpaceDN/>
              <w:adjustRightInd/>
              <w:spacing w:before="0" w:after="0"/>
              <w:jc w:val="center"/>
              <w:rPr>
                <w:rFonts w:ascii="Arial Narrow" w:hAnsi="Arial Narrow" w:cs="Calibri"/>
                <w:b/>
                <w:bCs/>
                <w:color w:val="000000"/>
                <w:kern w:val="0"/>
                <w:sz w:val="18"/>
                <w:szCs w:val="18"/>
              </w:rPr>
            </w:pPr>
            <w:r w:rsidRPr="001D13E6">
              <w:rPr>
                <w:rFonts w:ascii="Arial Narrow" w:hAnsi="Arial Narrow" w:cs="Calibri"/>
                <w:b/>
                <w:bCs/>
                <w:color w:val="000000"/>
                <w:kern w:val="0"/>
                <w:sz w:val="18"/>
                <w:szCs w:val="18"/>
              </w:rPr>
              <w:t>Pesi</w:t>
            </w:r>
          </w:p>
        </w:tc>
      </w:tr>
      <w:tr w:rsidR="000E79A9" w:rsidRPr="001D13E6" w:rsidTr="000E79A9">
        <w:trPr>
          <w:trHeight w:val="315"/>
        </w:trPr>
        <w:tc>
          <w:tcPr>
            <w:tcW w:w="3263" w:type="dxa"/>
            <w:gridSpan w:val="2"/>
            <w:vMerge/>
            <w:tcBorders>
              <w:top w:val="single" w:sz="8" w:space="0" w:color="auto"/>
              <w:left w:val="nil"/>
              <w:bottom w:val="single" w:sz="8" w:space="0" w:color="000000"/>
              <w:right w:val="nil"/>
            </w:tcBorders>
            <w:vAlign w:val="center"/>
          </w:tcPr>
          <w:p w:rsidR="000E79A9" w:rsidRPr="001D13E6" w:rsidRDefault="000E79A9" w:rsidP="00081300">
            <w:pPr>
              <w:widowControl/>
              <w:overflowPunct/>
              <w:autoSpaceDE/>
              <w:autoSpaceDN/>
              <w:adjustRightInd/>
              <w:spacing w:before="0" w:after="0"/>
              <w:rPr>
                <w:rFonts w:ascii="Arial Narrow" w:hAnsi="Arial Narrow" w:cs="Calibri"/>
                <w:b/>
                <w:bCs/>
                <w:color w:val="000000"/>
                <w:kern w:val="0"/>
                <w:sz w:val="18"/>
                <w:szCs w:val="18"/>
              </w:rPr>
            </w:pP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widowControl/>
              <w:overflowPunct/>
              <w:autoSpaceDE/>
              <w:autoSpaceDN/>
              <w:adjustRightInd/>
              <w:spacing w:before="0" w:after="0"/>
              <w:jc w:val="center"/>
              <w:rPr>
                <w:rFonts w:ascii="Arial Narrow" w:hAnsi="Arial Narrow" w:cs="Calibri"/>
                <w:b/>
                <w:bCs/>
                <w:color w:val="000000"/>
                <w:kern w:val="0"/>
                <w:sz w:val="18"/>
                <w:szCs w:val="18"/>
              </w:rPr>
            </w:pPr>
            <w:r w:rsidRPr="001D13E6">
              <w:rPr>
                <w:rFonts w:ascii="Arial Narrow" w:hAnsi="Arial Narrow" w:cs="Calibri"/>
                <w:b/>
                <w:bCs/>
                <w:color w:val="000000"/>
                <w:kern w:val="0"/>
                <w:sz w:val="18"/>
                <w:szCs w:val="18"/>
              </w:rPr>
              <w:t>NIC</w:t>
            </w:r>
          </w:p>
        </w:tc>
        <w:tc>
          <w:tcPr>
            <w:tcW w:w="1842" w:type="dxa"/>
            <w:tcBorders>
              <w:top w:val="nil"/>
              <w:left w:val="nil"/>
              <w:bottom w:val="single" w:sz="8" w:space="0" w:color="auto"/>
              <w:right w:val="nil"/>
            </w:tcBorders>
            <w:shd w:val="clear" w:color="000000" w:fill="FFFFFF"/>
            <w:vAlign w:val="center"/>
          </w:tcPr>
          <w:p w:rsidR="000E79A9" w:rsidRPr="001D13E6" w:rsidRDefault="000E79A9" w:rsidP="00081300">
            <w:pPr>
              <w:widowControl/>
              <w:overflowPunct/>
              <w:autoSpaceDE/>
              <w:autoSpaceDN/>
              <w:adjustRightInd/>
              <w:spacing w:before="0" w:after="0"/>
              <w:jc w:val="center"/>
              <w:rPr>
                <w:rFonts w:ascii="Arial Narrow" w:hAnsi="Arial Narrow" w:cs="Calibri"/>
                <w:b/>
                <w:bCs/>
                <w:color w:val="000000"/>
                <w:kern w:val="0"/>
                <w:sz w:val="18"/>
                <w:szCs w:val="18"/>
              </w:rPr>
            </w:pPr>
            <w:r w:rsidRPr="001D13E6">
              <w:rPr>
                <w:rFonts w:ascii="Arial Narrow" w:hAnsi="Arial Narrow" w:cs="Calibri"/>
                <w:b/>
                <w:bCs/>
                <w:color w:val="000000"/>
                <w:kern w:val="0"/>
                <w:sz w:val="18"/>
                <w:szCs w:val="18"/>
              </w:rPr>
              <w:t>IPCA</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widowControl/>
              <w:overflowPunct/>
              <w:autoSpaceDE/>
              <w:autoSpaceDN/>
              <w:adjustRightInd/>
              <w:spacing w:before="0" w:after="0"/>
              <w:jc w:val="center"/>
              <w:rPr>
                <w:rFonts w:ascii="Arial Narrow" w:hAnsi="Arial Narrow" w:cs="Calibri"/>
                <w:b/>
                <w:bCs/>
                <w:color w:val="000000"/>
                <w:kern w:val="0"/>
                <w:sz w:val="18"/>
                <w:szCs w:val="18"/>
              </w:rPr>
            </w:pPr>
            <w:r w:rsidRPr="001D13E6">
              <w:rPr>
                <w:rFonts w:ascii="Arial Narrow" w:hAnsi="Arial Narrow" w:cs="Calibri"/>
                <w:b/>
                <w:bCs/>
                <w:color w:val="000000"/>
                <w:kern w:val="0"/>
                <w:sz w:val="18"/>
                <w:szCs w:val="18"/>
              </w:rPr>
              <w:t>FOI</w:t>
            </w:r>
          </w:p>
        </w:tc>
      </w:tr>
      <w:tr w:rsidR="000E79A9" w:rsidRPr="001D13E6" w:rsidTr="000E79A9">
        <w:trPr>
          <w:trHeight w:hRule="exact" w:val="318"/>
        </w:trPr>
        <w:tc>
          <w:tcPr>
            <w:tcW w:w="3263" w:type="dxa"/>
            <w:gridSpan w:val="2"/>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Prodotti alimentari e bevande analcoliche</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16,5706</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17,6326</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15,3750</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Bevande alcoliche e tabacchi</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3,2497</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3,4597</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3,4490</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Abbigliamento e calzature</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7,1837</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8,3102</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7,9923</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Abitazione, acqua, elettricità e combustibili</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11,4454</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12,2032</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11,4024</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Mobili, articoli e servizi per la casa</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7,1798</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7,6724</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6,5215</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Servizi sanitari e spese per la salute</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8,6049</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4,1506</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7,0294</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Trasporti</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13,3218</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14,1802</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15,4704</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Comunicazioni</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2,6950</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2,8727</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3,1950</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Ricreazione, spettacoli e cultura</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7,7890</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6,0996</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8,1386</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Istruzione</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1,2482</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1,3314</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1,4612</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Servizi ricettivi e di ristorazione</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11,4490</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12,1889</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10,8368</w:t>
            </w:r>
          </w:p>
        </w:tc>
      </w:tr>
      <w:tr w:rsidR="000E79A9" w:rsidRPr="001D13E6" w:rsidTr="000E79A9">
        <w:trPr>
          <w:gridBefore w:val="1"/>
          <w:wBefore w:w="6" w:type="dxa"/>
          <w:trHeight w:hRule="exact" w:val="318"/>
        </w:trPr>
        <w:tc>
          <w:tcPr>
            <w:tcW w:w="3257" w:type="dxa"/>
            <w:tcBorders>
              <w:top w:val="nil"/>
              <w:left w:val="nil"/>
              <w:bottom w:val="single" w:sz="8" w:space="0" w:color="auto"/>
              <w:right w:val="nil"/>
            </w:tcBorders>
            <w:vAlign w:val="center"/>
          </w:tcPr>
          <w:p w:rsidR="000E79A9" w:rsidRPr="001D13E6" w:rsidRDefault="000E79A9" w:rsidP="00081300">
            <w:pPr>
              <w:widowControl/>
              <w:overflowPunct/>
              <w:autoSpaceDE/>
              <w:autoSpaceDN/>
              <w:adjustRightInd/>
              <w:spacing w:before="0" w:after="0"/>
              <w:jc w:val="both"/>
              <w:rPr>
                <w:rFonts w:ascii="Arial Narrow" w:hAnsi="Arial Narrow" w:cs="Calibri"/>
                <w:color w:val="000000"/>
                <w:kern w:val="0"/>
                <w:sz w:val="18"/>
                <w:szCs w:val="18"/>
              </w:rPr>
            </w:pPr>
            <w:r w:rsidRPr="001D13E6">
              <w:rPr>
                <w:rFonts w:ascii="Arial Narrow" w:hAnsi="Arial Narrow" w:cs="Calibri"/>
                <w:color w:val="000000"/>
                <w:kern w:val="0"/>
                <w:sz w:val="18"/>
                <w:szCs w:val="18"/>
              </w:rPr>
              <w:t xml:space="preserve">Altri beni e servizi </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9,2629</w:t>
            </w:r>
          </w:p>
        </w:tc>
        <w:tc>
          <w:tcPr>
            <w:tcW w:w="1842" w:type="dxa"/>
            <w:tcBorders>
              <w:top w:val="nil"/>
              <w:left w:val="nil"/>
              <w:bottom w:val="single" w:sz="8" w:space="0" w:color="auto"/>
              <w:right w:val="nil"/>
            </w:tcBorders>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9,8985</w:t>
            </w:r>
          </w:p>
        </w:tc>
        <w:tc>
          <w:tcPr>
            <w:tcW w:w="1842" w:type="dxa"/>
            <w:tcBorders>
              <w:top w:val="nil"/>
              <w:left w:val="nil"/>
              <w:bottom w:val="single" w:sz="8" w:space="0" w:color="auto"/>
              <w:right w:val="nil"/>
            </w:tcBorders>
            <w:shd w:val="clear" w:color="auto" w:fill="E6E6E6"/>
            <w:vAlign w:val="center"/>
          </w:tcPr>
          <w:p w:rsidR="000E79A9" w:rsidRPr="001D13E6" w:rsidRDefault="000E79A9" w:rsidP="00081300">
            <w:pPr>
              <w:spacing w:before="0" w:after="0"/>
              <w:jc w:val="center"/>
              <w:rPr>
                <w:rFonts w:ascii="Arial Narrow" w:hAnsi="Arial Narrow"/>
                <w:color w:val="000000"/>
                <w:sz w:val="18"/>
                <w:szCs w:val="18"/>
              </w:rPr>
            </w:pPr>
            <w:r w:rsidRPr="001D13E6">
              <w:rPr>
                <w:rFonts w:ascii="Arial Narrow" w:hAnsi="Arial Narrow"/>
                <w:color w:val="000000"/>
                <w:sz w:val="18"/>
                <w:szCs w:val="18"/>
              </w:rPr>
              <w:t>9,1284</w:t>
            </w:r>
          </w:p>
        </w:tc>
      </w:tr>
      <w:tr w:rsidR="000E79A9" w:rsidRPr="001D13E6" w:rsidTr="00081300">
        <w:trPr>
          <w:gridBefore w:val="1"/>
          <w:wBefore w:w="6" w:type="dxa"/>
          <w:trHeight w:hRule="exact" w:val="318"/>
        </w:trPr>
        <w:tc>
          <w:tcPr>
            <w:tcW w:w="3257" w:type="dxa"/>
            <w:tcBorders>
              <w:top w:val="nil"/>
              <w:left w:val="nil"/>
              <w:bottom w:val="single" w:sz="8" w:space="0" w:color="auto"/>
              <w:right w:val="nil"/>
            </w:tcBorders>
            <w:shd w:val="clear" w:color="auto" w:fill="FF0000"/>
            <w:vAlign w:val="center"/>
          </w:tcPr>
          <w:p w:rsidR="000E79A9" w:rsidRPr="001D13E6" w:rsidRDefault="000E79A9" w:rsidP="00081300">
            <w:pPr>
              <w:widowControl/>
              <w:overflowPunct/>
              <w:autoSpaceDE/>
              <w:autoSpaceDN/>
              <w:adjustRightInd/>
              <w:spacing w:before="0" w:after="0"/>
              <w:jc w:val="both"/>
              <w:rPr>
                <w:rFonts w:ascii="Arial Narrow" w:hAnsi="Arial Narrow" w:cs="Calibri"/>
                <w:b/>
                <w:bCs/>
                <w:color w:val="FFFFFF"/>
                <w:kern w:val="0"/>
                <w:sz w:val="18"/>
                <w:szCs w:val="18"/>
              </w:rPr>
            </w:pPr>
            <w:r w:rsidRPr="001D13E6">
              <w:rPr>
                <w:rFonts w:ascii="Arial Narrow" w:hAnsi="Arial Narrow" w:cs="Calibri"/>
                <w:b/>
                <w:bCs/>
                <w:color w:val="FFFFFF"/>
                <w:kern w:val="0"/>
                <w:sz w:val="18"/>
                <w:szCs w:val="18"/>
              </w:rPr>
              <w:t>Indice generale</w:t>
            </w:r>
          </w:p>
        </w:tc>
        <w:tc>
          <w:tcPr>
            <w:tcW w:w="1842" w:type="dxa"/>
            <w:tcBorders>
              <w:top w:val="nil"/>
              <w:left w:val="nil"/>
              <w:bottom w:val="single" w:sz="8" w:space="0" w:color="auto"/>
              <w:right w:val="nil"/>
            </w:tcBorders>
            <w:shd w:val="clear" w:color="auto" w:fill="FF0000"/>
            <w:vAlign w:val="center"/>
          </w:tcPr>
          <w:p w:rsidR="000E79A9" w:rsidRPr="001D13E6" w:rsidRDefault="000E79A9" w:rsidP="00081300">
            <w:pPr>
              <w:spacing w:before="0" w:after="0"/>
              <w:ind w:right="567"/>
              <w:jc w:val="right"/>
              <w:rPr>
                <w:rFonts w:ascii="Arial Narrow" w:hAnsi="Arial Narrow"/>
                <w:b/>
                <w:bCs/>
                <w:color w:val="FFFFFF"/>
                <w:sz w:val="18"/>
                <w:szCs w:val="18"/>
              </w:rPr>
            </w:pPr>
            <w:r w:rsidRPr="001D13E6">
              <w:rPr>
                <w:rFonts w:ascii="Arial Narrow" w:hAnsi="Arial Narrow"/>
                <w:b/>
                <w:bCs/>
                <w:color w:val="FFFFFF"/>
                <w:sz w:val="18"/>
                <w:szCs w:val="18"/>
              </w:rPr>
              <w:t>100,0000</w:t>
            </w:r>
          </w:p>
        </w:tc>
        <w:tc>
          <w:tcPr>
            <w:tcW w:w="1842" w:type="dxa"/>
            <w:tcBorders>
              <w:top w:val="nil"/>
              <w:left w:val="nil"/>
              <w:bottom w:val="single" w:sz="8" w:space="0" w:color="auto"/>
              <w:right w:val="nil"/>
            </w:tcBorders>
            <w:shd w:val="clear" w:color="auto" w:fill="FF0000"/>
            <w:vAlign w:val="center"/>
          </w:tcPr>
          <w:p w:rsidR="000E79A9" w:rsidRPr="001D13E6" w:rsidRDefault="000E79A9" w:rsidP="00081300">
            <w:pPr>
              <w:widowControl/>
              <w:overflowPunct/>
              <w:autoSpaceDE/>
              <w:autoSpaceDN/>
              <w:adjustRightInd/>
              <w:spacing w:before="0" w:after="0"/>
              <w:ind w:right="567"/>
              <w:jc w:val="right"/>
              <w:rPr>
                <w:rFonts w:ascii="Arial Narrow" w:hAnsi="Arial Narrow" w:cs="Calibri"/>
                <w:b/>
                <w:bCs/>
                <w:color w:val="FFFFFF"/>
                <w:kern w:val="0"/>
                <w:sz w:val="18"/>
                <w:szCs w:val="18"/>
              </w:rPr>
            </w:pPr>
            <w:r w:rsidRPr="001D13E6">
              <w:rPr>
                <w:rFonts w:ascii="Arial Narrow" w:hAnsi="Arial Narrow" w:cs="Calibri"/>
                <w:b/>
                <w:bCs/>
                <w:color w:val="FFFFFF"/>
                <w:kern w:val="0"/>
                <w:sz w:val="18"/>
                <w:szCs w:val="18"/>
              </w:rPr>
              <w:t>100,0000</w:t>
            </w:r>
          </w:p>
        </w:tc>
        <w:tc>
          <w:tcPr>
            <w:tcW w:w="1842" w:type="dxa"/>
            <w:tcBorders>
              <w:top w:val="nil"/>
              <w:left w:val="nil"/>
              <w:bottom w:val="single" w:sz="8" w:space="0" w:color="auto"/>
              <w:right w:val="nil"/>
            </w:tcBorders>
            <w:shd w:val="clear" w:color="auto" w:fill="FF0000"/>
            <w:vAlign w:val="center"/>
          </w:tcPr>
          <w:p w:rsidR="000E79A9" w:rsidRPr="001D13E6" w:rsidRDefault="000E79A9" w:rsidP="00081300">
            <w:pPr>
              <w:widowControl/>
              <w:overflowPunct/>
              <w:autoSpaceDE/>
              <w:autoSpaceDN/>
              <w:adjustRightInd/>
              <w:spacing w:before="0" w:after="0"/>
              <w:ind w:right="567"/>
              <w:jc w:val="right"/>
              <w:rPr>
                <w:rFonts w:ascii="Arial Narrow" w:hAnsi="Arial Narrow" w:cs="Calibri"/>
                <w:b/>
                <w:bCs/>
                <w:color w:val="FFFFFF"/>
                <w:kern w:val="0"/>
                <w:sz w:val="18"/>
                <w:szCs w:val="18"/>
              </w:rPr>
            </w:pPr>
            <w:r w:rsidRPr="001D13E6">
              <w:rPr>
                <w:rFonts w:ascii="Arial Narrow" w:hAnsi="Arial Narrow" w:cs="Calibri"/>
                <w:b/>
                <w:bCs/>
                <w:color w:val="FFFFFF"/>
                <w:kern w:val="0"/>
                <w:sz w:val="18"/>
                <w:szCs w:val="18"/>
              </w:rPr>
              <w:t>100,0000</w:t>
            </w:r>
          </w:p>
        </w:tc>
      </w:tr>
    </w:tbl>
    <w:p w:rsidR="000E79A9" w:rsidRPr="001D13E6" w:rsidRDefault="000E79A9" w:rsidP="000E79A9">
      <w:pPr>
        <w:tabs>
          <w:tab w:val="left" w:pos="-788"/>
          <w:tab w:val="left" w:pos="-567"/>
          <w:tab w:val="left" w:pos="565"/>
          <w:tab w:val="left" w:pos="84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240" w:after="120"/>
        <w:ind w:left="1814"/>
        <w:jc w:val="both"/>
        <w:rPr>
          <w:rFonts w:ascii="Arial" w:hAnsi="Arial" w:cs="Arial"/>
        </w:rPr>
      </w:pPr>
    </w:p>
    <w:p w:rsidR="000E79A9" w:rsidRPr="001D13E6" w:rsidRDefault="000E79A9" w:rsidP="000E79A9">
      <w:pPr>
        <w:tabs>
          <w:tab w:val="left" w:pos="-788"/>
          <w:tab w:val="left" w:pos="-567"/>
          <w:tab w:val="left" w:pos="565"/>
          <w:tab w:val="left" w:pos="84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240" w:after="60"/>
        <w:ind w:left="1814"/>
        <w:jc w:val="both"/>
        <w:rPr>
          <w:rFonts w:ascii="Arial" w:hAnsi="Arial" w:cs="Arial"/>
        </w:rPr>
      </w:pPr>
      <w:r w:rsidRPr="001D13E6">
        <w:rPr>
          <w:rFonts w:ascii="Arial" w:hAnsi="Arial" w:cs="Arial"/>
        </w:rPr>
        <w:t>Nel prospetto 2. sono riportati i pesi delle regioni sulla spesa complessiva utilizzati per la stima della ponderazione dell’indice NIC.</w:t>
      </w:r>
    </w:p>
    <w:p w:rsidR="000E79A9" w:rsidRPr="001D13E6" w:rsidRDefault="000E79A9" w:rsidP="000E79A9">
      <w:pPr>
        <w:tabs>
          <w:tab w:val="left" w:pos="-788"/>
          <w:tab w:val="left" w:pos="-567"/>
          <w:tab w:val="left" w:pos="565"/>
          <w:tab w:val="left" w:pos="84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200" w:after="60"/>
        <w:ind w:left="1814"/>
        <w:jc w:val="both"/>
        <w:rPr>
          <w:rFonts w:ascii="Arial Narrow" w:hAnsi="Arial Narrow" w:cs="Arial"/>
          <w:sz w:val="19"/>
          <w:szCs w:val="19"/>
        </w:rPr>
      </w:pPr>
      <w:r w:rsidRPr="001D13E6">
        <w:rPr>
          <w:rFonts w:ascii="Arial Narrow" w:hAnsi="Arial Narrow" w:cs="Arial"/>
          <w:b/>
          <w:color w:val="5F5F5F"/>
        </w:rPr>
        <w:t xml:space="preserve">PROSPETTO 2. PESI REGIONALI PER IL CALCOLO DELL’INDICE NIC </w:t>
      </w:r>
      <w:r w:rsidRPr="001D13E6">
        <w:rPr>
          <w:rFonts w:ascii="Arial Narrow" w:hAnsi="Arial Narrow" w:cs="Arial"/>
          <w:b/>
          <w:color w:val="5F5F5F"/>
        </w:rPr>
        <w:br/>
      </w:r>
      <w:r w:rsidRPr="001D13E6">
        <w:rPr>
          <w:rFonts w:ascii="Arial Narrow" w:hAnsi="Arial Narrow" w:cs="Arial"/>
          <w:sz w:val="19"/>
          <w:szCs w:val="19"/>
        </w:rPr>
        <w:t xml:space="preserve">Anno 2016, valori percentuali </w:t>
      </w:r>
    </w:p>
    <w:tbl>
      <w:tblPr>
        <w:tblW w:w="8681" w:type="dxa"/>
        <w:tblInd w:w="1913" w:type="dxa"/>
        <w:tblCellMar>
          <w:left w:w="70" w:type="dxa"/>
          <w:right w:w="70" w:type="dxa"/>
        </w:tblCellMar>
        <w:tblLook w:val="00A0" w:firstRow="1" w:lastRow="0" w:firstColumn="1" w:lastColumn="0" w:noHBand="0" w:noVBand="0"/>
      </w:tblPr>
      <w:tblGrid>
        <w:gridCol w:w="1236"/>
        <w:gridCol w:w="890"/>
        <w:gridCol w:w="1258"/>
        <w:gridCol w:w="885"/>
        <w:gridCol w:w="1145"/>
        <w:gridCol w:w="967"/>
        <w:gridCol w:w="1415"/>
        <w:gridCol w:w="885"/>
      </w:tblGrid>
      <w:tr w:rsidR="000E79A9" w:rsidRPr="001D13E6" w:rsidTr="000E79A9">
        <w:trPr>
          <w:trHeight w:hRule="exact" w:val="318"/>
        </w:trPr>
        <w:tc>
          <w:tcPr>
            <w:tcW w:w="1236" w:type="dxa"/>
            <w:tcBorders>
              <w:top w:val="single" w:sz="8" w:space="0" w:color="000000"/>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b/>
                <w:bCs/>
                <w:color w:val="000000"/>
                <w:sz w:val="18"/>
                <w:szCs w:val="18"/>
              </w:rPr>
            </w:pPr>
            <w:r w:rsidRPr="001D13E6">
              <w:rPr>
                <w:rFonts w:ascii="Arial Narrow" w:hAnsi="Arial Narrow" w:cs="Arial"/>
                <w:b/>
                <w:bCs/>
                <w:color w:val="000000"/>
                <w:sz w:val="18"/>
                <w:szCs w:val="18"/>
              </w:rPr>
              <w:t>Regioni</w:t>
            </w:r>
          </w:p>
        </w:tc>
        <w:tc>
          <w:tcPr>
            <w:tcW w:w="890" w:type="dxa"/>
            <w:tcBorders>
              <w:top w:val="single" w:sz="8" w:space="0" w:color="000000"/>
              <w:left w:val="nil"/>
              <w:bottom w:val="single" w:sz="8" w:space="0" w:color="000000"/>
              <w:right w:val="nil"/>
            </w:tcBorders>
            <w:shd w:val="clear" w:color="auto" w:fill="auto"/>
            <w:vAlign w:val="center"/>
          </w:tcPr>
          <w:p w:rsidR="000E79A9" w:rsidRPr="001D13E6" w:rsidRDefault="000E79A9" w:rsidP="000E79A9">
            <w:pPr>
              <w:widowControl/>
              <w:spacing w:before="0" w:after="0"/>
              <w:jc w:val="center"/>
              <w:rPr>
                <w:rFonts w:ascii="Arial Narrow" w:hAnsi="Arial Narrow" w:cs="Arial"/>
                <w:b/>
                <w:bCs/>
                <w:color w:val="000000"/>
                <w:sz w:val="18"/>
                <w:szCs w:val="18"/>
              </w:rPr>
            </w:pPr>
            <w:r w:rsidRPr="001D13E6">
              <w:rPr>
                <w:rFonts w:ascii="Arial Narrow" w:hAnsi="Arial Narrow" w:cs="Arial"/>
                <w:b/>
                <w:bCs/>
                <w:color w:val="000000"/>
                <w:sz w:val="18"/>
                <w:szCs w:val="18"/>
              </w:rPr>
              <w:t>Pesi</w:t>
            </w:r>
          </w:p>
        </w:tc>
        <w:tc>
          <w:tcPr>
            <w:tcW w:w="1258" w:type="dxa"/>
            <w:tcBorders>
              <w:top w:val="single" w:sz="8" w:space="0" w:color="000000"/>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b/>
                <w:bCs/>
                <w:color w:val="000000"/>
                <w:sz w:val="18"/>
                <w:szCs w:val="18"/>
              </w:rPr>
            </w:pPr>
            <w:r w:rsidRPr="001D13E6">
              <w:rPr>
                <w:rFonts w:ascii="Arial Narrow" w:hAnsi="Arial Narrow" w:cs="Arial"/>
                <w:b/>
                <w:bCs/>
                <w:color w:val="000000"/>
                <w:sz w:val="18"/>
                <w:szCs w:val="18"/>
              </w:rPr>
              <w:t>Regioni</w:t>
            </w:r>
          </w:p>
        </w:tc>
        <w:tc>
          <w:tcPr>
            <w:tcW w:w="885" w:type="dxa"/>
            <w:tcBorders>
              <w:top w:val="single" w:sz="8" w:space="0" w:color="000000"/>
              <w:left w:val="nil"/>
              <w:bottom w:val="single" w:sz="8" w:space="0" w:color="000000"/>
              <w:right w:val="nil"/>
            </w:tcBorders>
            <w:vAlign w:val="center"/>
          </w:tcPr>
          <w:p w:rsidR="000E79A9" w:rsidRPr="001D13E6" w:rsidRDefault="000E79A9" w:rsidP="000E79A9">
            <w:pPr>
              <w:widowControl/>
              <w:spacing w:before="0" w:after="0"/>
              <w:jc w:val="center"/>
              <w:rPr>
                <w:rFonts w:ascii="Arial Narrow" w:hAnsi="Arial Narrow" w:cs="Arial"/>
                <w:b/>
                <w:bCs/>
                <w:color w:val="000000"/>
                <w:sz w:val="18"/>
                <w:szCs w:val="18"/>
              </w:rPr>
            </w:pPr>
            <w:r w:rsidRPr="001D13E6">
              <w:rPr>
                <w:rFonts w:ascii="Arial Narrow" w:hAnsi="Arial Narrow" w:cs="Arial"/>
                <w:b/>
                <w:bCs/>
                <w:color w:val="000000"/>
                <w:sz w:val="18"/>
                <w:szCs w:val="18"/>
              </w:rPr>
              <w:t>Pesi</w:t>
            </w:r>
          </w:p>
        </w:tc>
        <w:tc>
          <w:tcPr>
            <w:tcW w:w="1145" w:type="dxa"/>
            <w:tcBorders>
              <w:top w:val="single" w:sz="8" w:space="0" w:color="000000"/>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b/>
                <w:bCs/>
                <w:color w:val="000000"/>
                <w:sz w:val="18"/>
                <w:szCs w:val="18"/>
              </w:rPr>
            </w:pPr>
            <w:r w:rsidRPr="001D13E6">
              <w:rPr>
                <w:rFonts w:ascii="Arial Narrow" w:hAnsi="Arial Narrow" w:cs="Arial"/>
                <w:b/>
                <w:bCs/>
                <w:color w:val="000000"/>
                <w:sz w:val="18"/>
                <w:szCs w:val="18"/>
              </w:rPr>
              <w:t>Regioni</w:t>
            </w:r>
          </w:p>
        </w:tc>
        <w:tc>
          <w:tcPr>
            <w:tcW w:w="967" w:type="dxa"/>
            <w:tcBorders>
              <w:top w:val="single" w:sz="8" w:space="0" w:color="000000"/>
              <w:left w:val="nil"/>
              <w:bottom w:val="single" w:sz="8" w:space="0" w:color="000000"/>
              <w:right w:val="nil"/>
            </w:tcBorders>
            <w:shd w:val="clear" w:color="auto" w:fill="auto"/>
            <w:vAlign w:val="center"/>
          </w:tcPr>
          <w:p w:rsidR="000E79A9" w:rsidRPr="001D13E6" w:rsidRDefault="000E79A9" w:rsidP="000E79A9">
            <w:pPr>
              <w:widowControl/>
              <w:spacing w:before="0" w:after="0"/>
              <w:jc w:val="center"/>
              <w:rPr>
                <w:rFonts w:ascii="Arial Narrow" w:hAnsi="Arial Narrow" w:cs="Arial"/>
                <w:b/>
                <w:bCs/>
                <w:color w:val="000000"/>
                <w:sz w:val="18"/>
                <w:szCs w:val="18"/>
              </w:rPr>
            </w:pPr>
            <w:r w:rsidRPr="001D13E6">
              <w:rPr>
                <w:rFonts w:ascii="Arial Narrow" w:hAnsi="Arial Narrow" w:cs="Arial"/>
                <w:b/>
                <w:bCs/>
                <w:color w:val="000000"/>
                <w:sz w:val="18"/>
                <w:szCs w:val="18"/>
              </w:rPr>
              <w:t>Pesi</w:t>
            </w:r>
          </w:p>
        </w:tc>
        <w:tc>
          <w:tcPr>
            <w:tcW w:w="1415" w:type="dxa"/>
            <w:tcBorders>
              <w:top w:val="single" w:sz="8" w:space="0" w:color="000000"/>
              <w:left w:val="nil"/>
              <w:bottom w:val="single" w:sz="8"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b/>
                <w:bCs/>
                <w:color w:val="000000"/>
                <w:sz w:val="18"/>
                <w:szCs w:val="18"/>
              </w:rPr>
            </w:pPr>
            <w:r w:rsidRPr="001D13E6">
              <w:rPr>
                <w:rFonts w:ascii="Arial Narrow" w:hAnsi="Arial Narrow" w:cs="Arial"/>
                <w:b/>
                <w:bCs/>
                <w:color w:val="000000"/>
                <w:sz w:val="18"/>
                <w:szCs w:val="18"/>
              </w:rPr>
              <w:t>Regioni</w:t>
            </w:r>
          </w:p>
        </w:tc>
        <w:tc>
          <w:tcPr>
            <w:tcW w:w="885" w:type="dxa"/>
            <w:tcBorders>
              <w:top w:val="single" w:sz="8" w:space="0" w:color="000000"/>
              <w:left w:val="nil"/>
              <w:bottom w:val="single" w:sz="8" w:space="0" w:color="000000"/>
              <w:right w:val="nil"/>
            </w:tcBorders>
            <w:vAlign w:val="center"/>
          </w:tcPr>
          <w:p w:rsidR="000E79A9" w:rsidRPr="001D13E6" w:rsidRDefault="000E79A9" w:rsidP="000E79A9">
            <w:pPr>
              <w:widowControl/>
              <w:spacing w:before="40" w:after="20"/>
              <w:jc w:val="center"/>
              <w:rPr>
                <w:rFonts w:ascii="Arial Narrow" w:hAnsi="Arial Narrow" w:cs="Arial"/>
                <w:b/>
                <w:bCs/>
                <w:color w:val="000000"/>
                <w:sz w:val="18"/>
                <w:szCs w:val="18"/>
              </w:rPr>
            </w:pPr>
            <w:r w:rsidRPr="001D13E6">
              <w:rPr>
                <w:rFonts w:ascii="Arial Narrow" w:hAnsi="Arial Narrow" w:cs="Arial"/>
                <w:b/>
                <w:bCs/>
                <w:color w:val="000000"/>
                <w:sz w:val="18"/>
                <w:szCs w:val="18"/>
              </w:rPr>
              <w:t>Pesi</w:t>
            </w:r>
          </w:p>
        </w:tc>
      </w:tr>
      <w:tr w:rsidR="000E79A9" w:rsidRPr="001D13E6" w:rsidTr="000E79A9">
        <w:trPr>
          <w:trHeight w:hRule="exact" w:val="318"/>
        </w:trPr>
        <w:tc>
          <w:tcPr>
            <w:tcW w:w="1236"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Piemonte</w:t>
            </w:r>
          </w:p>
        </w:tc>
        <w:tc>
          <w:tcPr>
            <w:tcW w:w="890"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8,2325</w:t>
            </w:r>
          </w:p>
        </w:tc>
        <w:tc>
          <w:tcPr>
            <w:tcW w:w="1258"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Valle d’Aosta</w:t>
            </w:r>
          </w:p>
        </w:tc>
        <w:tc>
          <w:tcPr>
            <w:tcW w:w="885" w:type="dxa"/>
            <w:tcBorders>
              <w:top w:val="nil"/>
              <w:left w:val="nil"/>
              <w:bottom w:val="single" w:sz="4" w:space="0" w:color="000000"/>
              <w:right w:val="nil"/>
            </w:tcBorders>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0,2888</w:t>
            </w:r>
          </w:p>
        </w:tc>
        <w:tc>
          <w:tcPr>
            <w:tcW w:w="114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Lombardia</w:t>
            </w:r>
          </w:p>
        </w:tc>
        <w:tc>
          <w:tcPr>
            <w:tcW w:w="967"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19,2664</w:t>
            </w:r>
          </w:p>
        </w:tc>
        <w:tc>
          <w:tcPr>
            <w:tcW w:w="141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color w:val="000000"/>
                <w:sz w:val="18"/>
                <w:szCs w:val="16"/>
              </w:rPr>
            </w:pPr>
            <w:r w:rsidRPr="001D13E6">
              <w:rPr>
                <w:rFonts w:ascii="Arial Narrow" w:hAnsi="Arial Narrow" w:cs="Arial"/>
                <w:color w:val="000000"/>
                <w:sz w:val="18"/>
                <w:szCs w:val="16"/>
              </w:rPr>
              <w:t>Trentino-A. Adige</w:t>
            </w:r>
          </w:p>
        </w:tc>
        <w:tc>
          <w:tcPr>
            <w:tcW w:w="885" w:type="dxa"/>
            <w:tcBorders>
              <w:top w:val="nil"/>
              <w:left w:val="nil"/>
              <w:bottom w:val="single" w:sz="4" w:space="0" w:color="000000"/>
              <w:right w:val="nil"/>
            </w:tcBorders>
            <w:vAlign w:val="center"/>
          </w:tcPr>
          <w:p w:rsidR="000E79A9" w:rsidRPr="001D13E6" w:rsidRDefault="000E79A9" w:rsidP="000E79A9">
            <w:pPr>
              <w:jc w:val="center"/>
              <w:rPr>
                <w:rFonts w:ascii="Arial Narrow" w:hAnsi="Arial Narrow"/>
                <w:color w:val="000000"/>
                <w:sz w:val="18"/>
                <w:szCs w:val="18"/>
              </w:rPr>
            </w:pPr>
            <w:r w:rsidRPr="001D13E6">
              <w:rPr>
                <w:rFonts w:ascii="Arial Narrow" w:hAnsi="Arial Narrow"/>
                <w:color w:val="000000"/>
                <w:sz w:val="18"/>
                <w:szCs w:val="18"/>
              </w:rPr>
              <w:t>2,3229</w:t>
            </w:r>
          </w:p>
        </w:tc>
      </w:tr>
      <w:tr w:rsidR="000E79A9" w:rsidRPr="001D13E6" w:rsidTr="000E79A9">
        <w:trPr>
          <w:trHeight w:hRule="exact" w:val="318"/>
        </w:trPr>
        <w:tc>
          <w:tcPr>
            <w:tcW w:w="1236"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Veneto</w:t>
            </w:r>
          </w:p>
        </w:tc>
        <w:tc>
          <w:tcPr>
            <w:tcW w:w="890"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8,9674</w:t>
            </w:r>
          </w:p>
        </w:tc>
        <w:tc>
          <w:tcPr>
            <w:tcW w:w="1258"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Friuli-V. Giulia</w:t>
            </w:r>
          </w:p>
        </w:tc>
        <w:tc>
          <w:tcPr>
            <w:tcW w:w="885" w:type="dxa"/>
            <w:tcBorders>
              <w:top w:val="nil"/>
              <w:left w:val="nil"/>
              <w:bottom w:val="single" w:sz="4" w:space="0" w:color="000000"/>
              <w:right w:val="nil"/>
            </w:tcBorders>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2,2774</w:t>
            </w:r>
          </w:p>
        </w:tc>
        <w:tc>
          <w:tcPr>
            <w:tcW w:w="114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Liguria</w:t>
            </w:r>
          </w:p>
        </w:tc>
        <w:tc>
          <w:tcPr>
            <w:tcW w:w="967"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2,8633</w:t>
            </w:r>
          </w:p>
        </w:tc>
        <w:tc>
          <w:tcPr>
            <w:tcW w:w="141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color w:val="000000"/>
                <w:sz w:val="18"/>
                <w:szCs w:val="16"/>
              </w:rPr>
            </w:pPr>
            <w:r w:rsidRPr="001D13E6">
              <w:rPr>
                <w:rFonts w:ascii="Arial Narrow" w:hAnsi="Arial Narrow" w:cs="Arial"/>
                <w:color w:val="000000"/>
                <w:sz w:val="18"/>
                <w:szCs w:val="16"/>
              </w:rPr>
              <w:t>Emilia-Romagna</w:t>
            </w:r>
          </w:p>
        </w:tc>
        <w:tc>
          <w:tcPr>
            <w:tcW w:w="885" w:type="dxa"/>
            <w:tcBorders>
              <w:top w:val="nil"/>
              <w:left w:val="nil"/>
              <w:bottom w:val="single" w:sz="4" w:space="0" w:color="000000"/>
              <w:right w:val="nil"/>
            </w:tcBorders>
            <w:vAlign w:val="center"/>
          </w:tcPr>
          <w:p w:rsidR="000E79A9" w:rsidRPr="001D13E6" w:rsidRDefault="000E79A9" w:rsidP="000E79A9">
            <w:pPr>
              <w:jc w:val="center"/>
              <w:rPr>
                <w:rFonts w:ascii="Arial Narrow" w:hAnsi="Arial Narrow"/>
                <w:color w:val="000000"/>
                <w:sz w:val="18"/>
                <w:szCs w:val="18"/>
              </w:rPr>
            </w:pPr>
            <w:r w:rsidRPr="001D13E6">
              <w:rPr>
                <w:rFonts w:ascii="Arial Narrow" w:hAnsi="Arial Narrow"/>
                <w:color w:val="000000"/>
                <w:sz w:val="18"/>
                <w:szCs w:val="18"/>
              </w:rPr>
              <w:t>8,8156</w:t>
            </w:r>
          </w:p>
        </w:tc>
      </w:tr>
      <w:tr w:rsidR="000E79A9" w:rsidRPr="001D13E6" w:rsidTr="000E79A9">
        <w:trPr>
          <w:trHeight w:hRule="exact" w:val="318"/>
        </w:trPr>
        <w:tc>
          <w:tcPr>
            <w:tcW w:w="1236"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Toscana</w:t>
            </w:r>
          </w:p>
        </w:tc>
        <w:tc>
          <w:tcPr>
            <w:tcW w:w="890"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6,8348</w:t>
            </w:r>
          </w:p>
        </w:tc>
        <w:tc>
          <w:tcPr>
            <w:tcW w:w="1258"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Umbria</w:t>
            </w:r>
          </w:p>
        </w:tc>
        <w:tc>
          <w:tcPr>
            <w:tcW w:w="885" w:type="dxa"/>
            <w:tcBorders>
              <w:top w:val="nil"/>
              <w:left w:val="nil"/>
              <w:bottom w:val="single" w:sz="4" w:space="0" w:color="000000"/>
              <w:right w:val="nil"/>
            </w:tcBorders>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1,4226</w:t>
            </w:r>
          </w:p>
        </w:tc>
        <w:tc>
          <w:tcPr>
            <w:tcW w:w="114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Marche</w:t>
            </w:r>
          </w:p>
        </w:tc>
        <w:tc>
          <w:tcPr>
            <w:tcW w:w="967"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2,5088</w:t>
            </w:r>
          </w:p>
        </w:tc>
        <w:tc>
          <w:tcPr>
            <w:tcW w:w="141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color w:val="000000"/>
                <w:sz w:val="18"/>
                <w:szCs w:val="16"/>
              </w:rPr>
            </w:pPr>
            <w:r w:rsidRPr="001D13E6">
              <w:rPr>
                <w:rFonts w:ascii="Arial Narrow" w:hAnsi="Arial Narrow" w:cs="Arial"/>
                <w:color w:val="000000"/>
                <w:sz w:val="18"/>
                <w:szCs w:val="16"/>
              </w:rPr>
              <w:t>Lazio</w:t>
            </w:r>
          </w:p>
        </w:tc>
        <w:tc>
          <w:tcPr>
            <w:tcW w:w="885" w:type="dxa"/>
            <w:tcBorders>
              <w:top w:val="nil"/>
              <w:left w:val="nil"/>
              <w:bottom w:val="single" w:sz="4" w:space="0" w:color="000000"/>
              <w:right w:val="nil"/>
            </w:tcBorders>
            <w:vAlign w:val="center"/>
          </w:tcPr>
          <w:p w:rsidR="000E79A9" w:rsidRPr="001D13E6" w:rsidRDefault="000E79A9" w:rsidP="000E79A9">
            <w:pPr>
              <w:jc w:val="center"/>
              <w:rPr>
                <w:rFonts w:ascii="Arial Narrow" w:hAnsi="Arial Narrow"/>
                <w:color w:val="000000"/>
                <w:sz w:val="18"/>
                <w:szCs w:val="18"/>
              </w:rPr>
            </w:pPr>
            <w:r w:rsidRPr="001D13E6">
              <w:rPr>
                <w:rFonts w:ascii="Arial Narrow" w:hAnsi="Arial Narrow"/>
                <w:color w:val="000000"/>
                <w:sz w:val="18"/>
                <w:szCs w:val="18"/>
              </w:rPr>
              <w:t>9,8485</w:t>
            </w:r>
          </w:p>
        </w:tc>
      </w:tr>
      <w:tr w:rsidR="000E79A9" w:rsidRPr="001D13E6" w:rsidTr="000E79A9">
        <w:trPr>
          <w:trHeight w:hRule="exact" w:val="318"/>
        </w:trPr>
        <w:tc>
          <w:tcPr>
            <w:tcW w:w="1236"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Abruzzo</w:t>
            </w:r>
          </w:p>
        </w:tc>
        <w:tc>
          <w:tcPr>
            <w:tcW w:w="890"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1,9486</w:t>
            </w:r>
          </w:p>
        </w:tc>
        <w:tc>
          <w:tcPr>
            <w:tcW w:w="1258"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Molise</w:t>
            </w:r>
          </w:p>
        </w:tc>
        <w:tc>
          <w:tcPr>
            <w:tcW w:w="885" w:type="dxa"/>
            <w:tcBorders>
              <w:top w:val="nil"/>
              <w:left w:val="nil"/>
              <w:bottom w:val="single" w:sz="4" w:space="0" w:color="000000"/>
              <w:right w:val="nil"/>
            </w:tcBorders>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0,4328</w:t>
            </w:r>
          </w:p>
        </w:tc>
        <w:tc>
          <w:tcPr>
            <w:tcW w:w="114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Campania</w:t>
            </w:r>
          </w:p>
        </w:tc>
        <w:tc>
          <w:tcPr>
            <w:tcW w:w="967" w:type="dxa"/>
            <w:tcBorders>
              <w:top w:val="nil"/>
              <w:left w:val="nil"/>
              <w:bottom w:val="single" w:sz="4"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6,8886</w:t>
            </w:r>
          </w:p>
        </w:tc>
        <w:tc>
          <w:tcPr>
            <w:tcW w:w="1415" w:type="dxa"/>
            <w:tcBorders>
              <w:top w:val="nil"/>
              <w:left w:val="nil"/>
              <w:bottom w:val="single" w:sz="4"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color w:val="000000"/>
                <w:sz w:val="18"/>
                <w:szCs w:val="16"/>
              </w:rPr>
            </w:pPr>
            <w:r w:rsidRPr="001D13E6">
              <w:rPr>
                <w:rFonts w:ascii="Arial Narrow" w:hAnsi="Arial Narrow" w:cs="Arial"/>
                <w:color w:val="000000"/>
                <w:sz w:val="18"/>
                <w:szCs w:val="16"/>
              </w:rPr>
              <w:t>Puglia</w:t>
            </w:r>
          </w:p>
        </w:tc>
        <w:tc>
          <w:tcPr>
            <w:tcW w:w="885" w:type="dxa"/>
            <w:tcBorders>
              <w:top w:val="nil"/>
              <w:left w:val="nil"/>
              <w:bottom w:val="single" w:sz="4" w:space="0" w:color="000000"/>
              <w:right w:val="nil"/>
            </w:tcBorders>
            <w:vAlign w:val="center"/>
          </w:tcPr>
          <w:p w:rsidR="000E79A9" w:rsidRPr="001D13E6" w:rsidRDefault="000E79A9" w:rsidP="000E79A9">
            <w:pPr>
              <w:jc w:val="center"/>
              <w:rPr>
                <w:rFonts w:ascii="Arial Narrow" w:hAnsi="Arial Narrow"/>
                <w:color w:val="000000"/>
                <w:sz w:val="18"/>
                <w:szCs w:val="18"/>
              </w:rPr>
            </w:pPr>
            <w:r w:rsidRPr="001D13E6">
              <w:rPr>
                <w:rFonts w:ascii="Arial Narrow" w:hAnsi="Arial Narrow"/>
                <w:color w:val="000000"/>
                <w:sz w:val="18"/>
                <w:szCs w:val="18"/>
              </w:rPr>
              <w:t>5,0641</w:t>
            </w:r>
          </w:p>
        </w:tc>
      </w:tr>
      <w:tr w:rsidR="000E79A9" w:rsidRPr="001D13E6" w:rsidTr="000E79A9">
        <w:trPr>
          <w:trHeight w:hRule="exact" w:val="318"/>
        </w:trPr>
        <w:tc>
          <w:tcPr>
            <w:tcW w:w="1236" w:type="dxa"/>
            <w:tcBorders>
              <w:top w:val="nil"/>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Basilicata</w:t>
            </w:r>
          </w:p>
        </w:tc>
        <w:tc>
          <w:tcPr>
            <w:tcW w:w="890" w:type="dxa"/>
            <w:tcBorders>
              <w:top w:val="nil"/>
              <w:left w:val="nil"/>
              <w:bottom w:val="single" w:sz="8"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0,7296</w:t>
            </w:r>
          </w:p>
        </w:tc>
        <w:tc>
          <w:tcPr>
            <w:tcW w:w="1258" w:type="dxa"/>
            <w:tcBorders>
              <w:top w:val="nil"/>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Calabria</w:t>
            </w:r>
          </w:p>
        </w:tc>
        <w:tc>
          <w:tcPr>
            <w:tcW w:w="885" w:type="dxa"/>
            <w:tcBorders>
              <w:top w:val="nil"/>
              <w:left w:val="nil"/>
              <w:bottom w:val="single" w:sz="8" w:space="0" w:color="000000"/>
              <w:right w:val="nil"/>
            </w:tcBorders>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2,5911</w:t>
            </w:r>
          </w:p>
        </w:tc>
        <w:tc>
          <w:tcPr>
            <w:tcW w:w="1145" w:type="dxa"/>
            <w:tcBorders>
              <w:top w:val="nil"/>
              <w:left w:val="nil"/>
              <w:bottom w:val="single" w:sz="8" w:space="0" w:color="000000"/>
              <w:right w:val="nil"/>
            </w:tcBorders>
            <w:shd w:val="clear" w:color="auto" w:fill="E6E6E6"/>
            <w:vAlign w:val="center"/>
          </w:tcPr>
          <w:p w:rsidR="000E79A9" w:rsidRPr="001D13E6" w:rsidRDefault="000E79A9" w:rsidP="000E79A9">
            <w:pPr>
              <w:widowControl/>
              <w:spacing w:before="0" w:after="0"/>
              <w:ind w:left="115"/>
              <w:rPr>
                <w:rFonts w:ascii="Arial Narrow" w:hAnsi="Arial Narrow" w:cs="Arial"/>
                <w:color w:val="000000"/>
                <w:sz w:val="18"/>
                <w:szCs w:val="16"/>
              </w:rPr>
            </w:pPr>
            <w:r w:rsidRPr="001D13E6">
              <w:rPr>
                <w:rFonts w:ascii="Arial Narrow" w:hAnsi="Arial Narrow" w:cs="Arial"/>
                <w:color w:val="000000"/>
                <w:sz w:val="18"/>
                <w:szCs w:val="16"/>
              </w:rPr>
              <w:t>Sicilia</w:t>
            </w:r>
          </w:p>
        </w:tc>
        <w:tc>
          <w:tcPr>
            <w:tcW w:w="967" w:type="dxa"/>
            <w:tcBorders>
              <w:top w:val="nil"/>
              <w:left w:val="nil"/>
              <w:bottom w:val="single" w:sz="8" w:space="0" w:color="000000"/>
              <w:right w:val="nil"/>
            </w:tcBorders>
            <w:shd w:val="clear" w:color="auto" w:fill="auto"/>
            <w:vAlign w:val="center"/>
          </w:tcPr>
          <w:p w:rsidR="000E79A9" w:rsidRPr="001D13E6" w:rsidRDefault="000E79A9" w:rsidP="000E79A9">
            <w:pPr>
              <w:spacing w:before="0" w:after="0"/>
              <w:jc w:val="center"/>
              <w:rPr>
                <w:rFonts w:ascii="Arial Narrow" w:hAnsi="Arial Narrow"/>
                <w:color w:val="000000"/>
                <w:sz w:val="18"/>
                <w:szCs w:val="18"/>
              </w:rPr>
            </w:pPr>
            <w:r w:rsidRPr="001D13E6">
              <w:rPr>
                <w:rFonts w:ascii="Arial Narrow" w:hAnsi="Arial Narrow"/>
                <w:color w:val="000000"/>
                <w:sz w:val="18"/>
                <w:szCs w:val="18"/>
              </w:rPr>
              <w:t>6,3451</w:t>
            </w:r>
          </w:p>
        </w:tc>
        <w:tc>
          <w:tcPr>
            <w:tcW w:w="1415" w:type="dxa"/>
            <w:tcBorders>
              <w:top w:val="nil"/>
              <w:left w:val="nil"/>
              <w:bottom w:val="single" w:sz="8" w:space="0" w:color="000000"/>
              <w:right w:val="nil"/>
            </w:tcBorders>
            <w:shd w:val="clear" w:color="auto" w:fill="E6E6E6"/>
            <w:vAlign w:val="center"/>
          </w:tcPr>
          <w:p w:rsidR="000E79A9" w:rsidRPr="001D13E6" w:rsidRDefault="000E79A9" w:rsidP="000E79A9">
            <w:pPr>
              <w:widowControl/>
              <w:spacing w:before="0" w:after="0"/>
              <w:rPr>
                <w:rFonts w:ascii="Arial Narrow" w:hAnsi="Arial Narrow" w:cs="Arial"/>
                <w:color w:val="000000"/>
                <w:sz w:val="18"/>
                <w:szCs w:val="16"/>
              </w:rPr>
            </w:pPr>
            <w:r w:rsidRPr="001D13E6">
              <w:rPr>
                <w:rFonts w:ascii="Arial Narrow" w:hAnsi="Arial Narrow" w:cs="Arial"/>
                <w:color w:val="000000"/>
                <w:sz w:val="18"/>
                <w:szCs w:val="16"/>
              </w:rPr>
              <w:t>Sardegna</w:t>
            </w:r>
          </w:p>
        </w:tc>
        <w:tc>
          <w:tcPr>
            <w:tcW w:w="885" w:type="dxa"/>
            <w:tcBorders>
              <w:top w:val="nil"/>
              <w:left w:val="nil"/>
              <w:bottom w:val="single" w:sz="8" w:space="0" w:color="000000"/>
              <w:right w:val="nil"/>
            </w:tcBorders>
            <w:vAlign w:val="center"/>
          </w:tcPr>
          <w:p w:rsidR="000E79A9" w:rsidRPr="001D13E6" w:rsidRDefault="000E79A9" w:rsidP="000E79A9">
            <w:pPr>
              <w:jc w:val="center"/>
              <w:rPr>
                <w:rFonts w:ascii="Arial Narrow" w:hAnsi="Arial Narrow"/>
                <w:color w:val="000000"/>
                <w:sz w:val="18"/>
                <w:szCs w:val="18"/>
              </w:rPr>
            </w:pPr>
            <w:r w:rsidRPr="001D13E6">
              <w:rPr>
                <w:rFonts w:ascii="Arial Narrow" w:hAnsi="Arial Narrow"/>
                <w:color w:val="000000"/>
                <w:sz w:val="18"/>
                <w:szCs w:val="18"/>
              </w:rPr>
              <w:t>2,3512</w:t>
            </w:r>
          </w:p>
        </w:tc>
      </w:tr>
    </w:tbl>
    <w:p w:rsidR="000E79A9" w:rsidRPr="001D13E6" w:rsidRDefault="000E79A9" w:rsidP="000E79A9">
      <w:pPr>
        <w:spacing w:before="320" w:after="120"/>
        <w:ind w:left="1814"/>
        <w:jc w:val="both"/>
        <w:rPr>
          <w:rFonts w:ascii="Arial" w:hAnsi="Arial" w:cs="Arial"/>
          <w:b/>
          <w:color w:val="333333"/>
          <w:sz w:val="22"/>
          <w:szCs w:val="22"/>
        </w:rPr>
      </w:pPr>
    </w:p>
    <w:p w:rsidR="000E79A9" w:rsidRPr="001D13E6" w:rsidRDefault="000E79A9" w:rsidP="000E79A9">
      <w:pPr>
        <w:widowControl/>
        <w:overflowPunct/>
        <w:autoSpaceDE/>
        <w:autoSpaceDN/>
        <w:adjustRightInd/>
        <w:spacing w:before="0" w:after="0"/>
        <w:rPr>
          <w:rFonts w:ascii="Arial" w:hAnsi="Arial" w:cs="Arial"/>
          <w:b/>
          <w:color w:val="333333"/>
          <w:sz w:val="22"/>
          <w:szCs w:val="22"/>
        </w:rPr>
      </w:pPr>
      <w:r w:rsidRPr="001D13E6">
        <w:rPr>
          <w:rFonts w:ascii="Arial" w:hAnsi="Arial" w:cs="Arial"/>
          <w:b/>
          <w:color w:val="333333"/>
          <w:sz w:val="22"/>
          <w:szCs w:val="22"/>
        </w:rPr>
        <w:br w:type="page"/>
      </w:r>
    </w:p>
    <w:p w:rsidR="000E79A9" w:rsidRPr="001D13E6" w:rsidRDefault="000E79A9" w:rsidP="000E79A9">
      <w:pPr>
        <w:spacing w:before="320" w:after="120"/>
        <w:ind w:left="1814"/>
        <w:jc w:val="both"/>
        <w:rPr>
          <w:rFonts w:ascii="Arial" w:hAnsi="Arial" w:cs="Arial"/>
          <w:b/>
          <w:color w:val="333333"/>
          <w:sz w:val="22"/>
          <w:szCs w:val="22"/>
        </w:rPr>
      </w:pPr>
      <w:r w:rsidRPr="001D13E6">
        <w:rPr>
          <w:rFonts w:ascii="Arial" w:hAnsi="Arial" w:cs="Arial"/>
          <w:b/>
          <w:color w:val="333333"/>
          <w:sz w:val="22"/>
          <w:szCs w:val="22"/>
        </w:rPr>
        <w:lastRenderedPageBreak/>
        <w:t>Indice armonizzato dei prezzi al consumo a tassazione costante</w:t>
      </w:r>
    </w:p>
    <w:p w:rsidR="000E79A9" w:rsidRPr="001D13E6" w:rsidRDefault="000E79A9" w:rsidP="000E79A9">
      <w:pPr>
        <w:overflowPunct/>
        <w:autoSpaceDE/>
        <w:autoSpaceDN/>
        <w:adjustRightInd/>
        <w:spacing w:before="0"/>
        <w:ind w:left="1814"/>
        <w:jc w:val="both"/>
        <w:rPr>
          <w:rFonts w:ascii="Arial" w:hAnsi="Arial" w:cs="Arial"/>
        </w:rPr>
      </w:pPr>
      <w:r w:rsidRPr="001D13E6">
        <w:rPr>
          <w:rFonts w:ascii="Arial" w:hAnsi="Arial" w:cs="Arial"/>
        </w:rPr>
        <w:t>L’Indice armonizzato dei prezzi al consumo a tassazione costante (</w:t>
      </w:r>
      <w:r w:rsidRPr="001D13E6">
        <w:rPr>
          <w:rFonts w:ascii="Arial" w:hAnsi="Arial" w:cs="Arial"/>
          <w:b/>
          <w:color w:val="333333"/>
        </w:rPr>
        <w:t>IPCA-TC</w:t>
      </w:r>
      <w:r w:rsidRPr="001D13E6">
        <w:rPr>
          <w:rFonts w:ascii="Arial" w:hAnsi="Arial" w:cs="Arial"/>
        </w:rPr>
        <w:t>)</w:t>
      </w:r>
      <w:r w:rsidRPr="001D13E6">
        <w:rPr>
          <w:rFonts w:ascii="Arial" w:hAnsi="Arial"/>
          <w:vertAlign w:val="superscript"/>
        </w:rPr>
        <w:footnoteReference w:id="5"/>
      </w:r>
      <w:r w:rsidRPr="001D13E6">
        <w:rPr>
          <w:rFonts w:ascii="Arial" w:hAnsi="Arial" w:cs="Arial"/>
        </w:rPr>
        <w:t xml:space="preserve">, elaborato secondo gli standard previsti dal Regolamento (CE) n. 119/2013 dell’11 febbraio 2013, si differenzia dall’IPCA per l’utilizzo di indici dei prezzi calcolati a tassazione costante. </w:t>
      </w:r>
    </w:p>
    <w:p w:rsidR="000E79A9" w:rsidRPr="001D13E6" w:rsidRDefault="000E79A9" w:rsidP="000E79A9">
      <w:pPr>
        <w:spacing w:before="0"/>
        <w:ind w:left="1814"/>
        <w:jc w:val="both"/>
        <w:rPr>
          <w:rFonts w:ascii="Arial" w:hAnsi="Arial" w:cs="Arial"/>
        </w:rPr>
      </w:pPr>
      <w:r w:rsidRPr="001D13E6">
        <w:rPr>
          <w:rFonts w:ascii="Arial" w:hAnsi="Arial" w:cs="Arial"/>
        </w:rPr>
        <w:t>Gli indici dei prezzi a tassazione costante vengono stimati depurando quelli usualmente pubblicati degli effetti dovuti a eventuali cambiamenti delle aliquote delle imposte indirette (ad esempio IVA e accise) registrati nel mese corrente rispetto a quelle in vigore nel mese di dicembre dell’anno precedente (base di calcolo dell’indice).</w:t>
      </w:r>
    </w:p>
    <w:p w:rsidR="000E79A9" w:rsidRPr="001D13E6" w:rsidRDefault="000E79A9" w:rsidP="000E79A9">
      <w:pPr>
        <w:spacing w:before="0"/>
        <w:ind w:left="1814"/>
        <w:jc w:val="both"/>
        <w:rPr>
          <w:rFonts w:ascii="Arial" w:hAnsi="Arial" w:cs="Arial"/>
        </w:rPr>
      </w:pPr>
      <w:r w:rsidRPr="001D13E6">
        <w:rPr>
          <w:rFonts w:ascii="Arial" w:hAnsi="Arial" w:cs="Arial"/>
        </w:rPr>
        <w:t>Le imposte considerate per la costruzione dell’IPCA-TC sono quelle direttamente collegate ai consumi finali delle famiglie, quali IVA, accise e imposte su specifici prodotti (per esempio, autovetture e assicurazioni). Non sono invece considerati i sussidi e le imposte pagate nelle fasi intermedie relative alla produzione e al trasporto. Per definizione, nel calcolo dell’IPCA-TC dovrebbero essere incluse e mantenute costanti nel corso dell’anno tutte le imposte che incidono sui consumi finali; tuttavia, per evidenti considerazioni di natura pratica, possono essere escluse quelle che comportano entrate erariali molto ridotte. Nel dettaglio, secondo le indicazioni riportate nel Manuale IPCA-TC dell’Eurostat, possono essere escluse le imposte che comportano entrate erariali inferiori al 2% del totale. Nel complesso, le imposte incluse devono coprire almeno il 90% del totale entrate. Quindi, nel calcolo dell’indice IPCA-TC italiano sono mantenute costanti le seguenti imposte: l’IVA, le accise sui tabacchi e sui beni energetici (carburanti, gasolio per il riscaldamento, gas naturale, elettricità, ecc.), le principali imposte locali su elettricità e gas naturale, l’imposta sull’assicurazione di responsabilità civile (RC) e il contributo al Servizio Sanitario Nazionale per quanto riguarda le assicurazioni sui mezzi di trasporto. Sulla base dei dati della Contabilità Nazionale, sono escluse le imposte che comportano entrate erariali inferiori all’1% del totale e nel complesso le imposte considerate coprono circa il 98% delle entrate erariali totali derivanti dalla tassazione sui consumi finali delle famiglie italiane.</w:t>
      </w:r>
    </w:p>
    <w:p w:rsidR="000E79A9" w:rsidRPr="001D13E6" w:rsidRDefault="000E79A9" w:rsidP="000E79A9">
      <w:pPr>
        <w:spacing w:before="0"/>
        <w:ind w:left="1814"/>
        <w:jc w:val="both"/>
        <w:rPr>
          <w:rFonts w:ascii="Arial" w:hAnsi="Arial" w:cs="Arial"/>
        </w:rPr>
      </w:pPr>
      <w:r w:rsidRPr="001D13E6">
        <w:rPr>
          <w:rFonts w:ascii="Arial" w:hAnsi="Arial" w:cs="Arial"/>
        </w:rPr>
        <w:t>L’IPCA-TC considera gli stessi beni e servizi considerati dall’indice IPCA, ha la sua stessa struttura di ponderazione (Prospetto 1) e stessa base di riferimento 20</w:t>
      </w:r>
      <w:r>
        <w:rPr>
          <w:rFonts w:ascii="Arial" w:hAnsi="Arial" w:cs="Arial"/>
        </w:rPr>
        <w:t>1</w:t>
      </w:r>
      <w:r w:rsidRPr="001D13E6">
        <w:rPr>
          <w:rFonts w:ascii="Arial" w:hAnsi="Arial" w:cs="Arial"/>
        </w:rPr>
        <w:t>5=100.</w:t>
      </w:r>
    </w:p>
    <w:p w:rsidR="000E79A9" w:rsidRPr="001D13E6" w:rsidRDefault="000E79A9" w:rsidP="000E79A9">
      <w:pPr>
        <w:spacing w:before="0"/>
        <w:ind w:left="1814"/>
        <w:jc w:val="both"/>
        <w:rPr>
          <w:rFonts w:ascii="Arial" w:hAnsi="Arial" w:cs="Arial"/>
        </w:rPr>
      </w:pPr>
      <w:r w:rsidRPr="001D13E6">
        <w:rPr>
          <w:rFonts w:ascii="Arial" w:hAnsi="Arial" w:cs="Arial"/>
        </w:rPr>
        <w:t>L’indicatore IPCA-TC offre una stima dell’</w:t>
      </w:r>
      <w:r w:rsidRPr="001D13E6">
        <w:rPr>
          <w:rFonts w:ascii="Arial" w:hAnsi="Arial" w:cs="Arial"/>
          <w:b/>
          <w:color w:val="333333"/>
        </w:rPr>
        <w:t xml:space="preserve">impatto teorico </w:t>
      </w:r>
      <w:r w:rsidRPr="001D13E6">
        <w:rPr>
          <w:rFonts w:ascii="Arial" w:hAnsi="Arial" w:cs="Arial"/>
        </w:rPr>
        <w:t xml:space="preserve">delle variazioni delle imposte indirette sull’inflazione misurata mediante l’IPCA. </w:t>
      </w:r>
      <w:r w:rsidRPr="001D13E6">
        <w:rPr>
          <w:rFonts w:ascii="Arial" w:hAnsi="Arial" w:cs="Arial"/>
          <w:bCs/>
        </w:rPr>
        <w:t xml:space="preserve">Infatti, poiché nella sua costruzione si assume un trasferimento totale e istantaneo delle modifiche di imposta sui prezzi pagati dai consumatori, </w:t>
      </w:r>
      <w:r w:rsidRPr="001D13E6">
        <w:rPr>
          <w:rFonts w:ascii="Arial" w:hAnsi="Arial" w:cs="Arial"/>
        </w:rPr>
        <w:t xml:space="preserve">la differenza tra il tasso di variazione dell’IPCA e quello dell’IPCA-TC fornisce una misura del massimo impatto potenziale delle modifiche di imposta indiretta sull’inflazione IPCA. </w:t>
      </w:r>
    </w:p>
    <w:p w:rsidR="000E79A9" w:rsidRPr="001D13E6" w:rsidRDefault="000E79A9" w:rsidP="000E79A9">
      <w:pPr>
        <w:spacing w:before="0"/>
        <w:ind w:left="1814"/>
        <w:jc w:val="both"/>
        <w:rPr>
          <w:rFonts w:ascii="Arial" w:hAnsi="Arial" w:cs="Arial"/>
        </w:rPr>
      </w:pPr>
      <w:r w:rsidRPr="001D13E6">
        <w:rPr>
          <w:rFonts w:ascii="Arial" w:hAnsi="Arial" w:cs="Arial"/>
        </w:rPr>
        <w:t xml:space="preserve">Si precisa che, nel corso dell’anno, l’indice IPCA-TC può essere </w:t>
      </w:r>
      <w:r w:rsidRPr="001D13E6">
        <w:rPr>
          <w:rFonts w:ascii="Arial" w:hAnsi="Arial" w:cs="Arial"/>
          <w:b/>
          <w:color w:val="333333"/>
        </w:rPr>
        <w:t>soggetto a revisione</w:t>
      </w:r>
      <w:r w:rsidRPr="001D13E6">
        <w:rPr>
          <w:rFonts w:ascii="Arial" w:hAnsi="Arial" w:cs="Arial"/>
        </w:rPr>
        <w:t xml:space="preserve"> per effetto di modifiche nel calcolo richieste da eventuali cambiamenti nel sistema di imposizione fiscale indiretta. I dati diventano definitivi l’anno successivo a quello di riferimento.</w:t>
      </w:r>
    </w:p>
    <w:p w:rsidR="000E79A9" w:rsidRPr="001D13E6" w:rsidRDefault="000E79A9" w:rsidP="000E79A9">
      <w:pPr>
        <w:spacing w:before="0" w:after="120"/>
        <w:ind w:left="1814" w:right="-1"/>
        <w:jc w:val="both"/>
        <w:rPr>
          <w:rFonts w:ascii="Arial" w:hAnsi="Arial" w:cs="Arial"/>
        </w:rPr>
      </w:pPr>
      <w:r w:rsidRPr="001D13E6">
        <w:rPr>
          <w:rFonts w:ascii="Arial" w:hAnsi="Arial" w:cs="Arial"/>
        </w:rPr>
        <w:t>Per quanto riguarda infine la diffusione, il livello di maggior dettaglio di tale indice è quello delle 12 divisioni di spesa</w:t>
      </w:r>
      <w:r w:rsidRPr="001D13E6">
        <w:rPr>
          <w:rFonts w:ascii="Arial" w:hAnsi="Arial" w:cs="Arial"/>
          <w:vertAlign w:val="superscript"/>
        </w:rPr>
        <w:footnoteReference w:id="6"/>
      </w:r>
      <w:r w:rsidRPr="001D13E6">
        <w:rPr>
          <w:rFonts w:ascii="Arial" w:hAnsi="Arial" w:cs="Arial"/>
        </w:rPr>
        <w:t>.</w:t>
      </w:r>
    </w:p>
    <w:p w:rsidR="000E79A9" w:rsidRPr="001D13E6" w:rsidRDefault="000E79A9" w:rsidP="000E79A9">
      <w:pPr>
        <w:spacing w:before="360" w:after="120"/>
        <w:ind w:left="1814"/>
        <w:jc w:val="both"/>
        <w:rPr>
          <w:rFonts w:ascii="Arial" w:hAnsi="Arial" w:cs="Arial"/>
          <w:b/>
          <w:color w:val="333333"/>
          <w:sz w:val="22"/>
          <w:szCs w:val="22"/>
        </w:rPr>
      </w:pPr>
      <w:r w:rsidRPr="001D13E6">
        <w:rPr>
          <w:rFonts w:ascii="Arial" w:hAnsi="Arial" w:cs="Arial"/>
          <w:b/>
          <w:color w:val="333333"/>
          <w:sz w:val="22"/>
          <w:szCs w:val="22"/>
        </w:rPr>
        <w:t xml:space="preserve">Calcolo delle variazioni degli indici </w:t>
      </w:r>
    </w:p>
    <w:p w:rsidR="000E79A9" w:rsidRPr="001D13E6" w:rsidRDefault="000E79A9" w:rsidP="000E79A9">
      <w:pPr>
        <w:spacing w:before="0" w:after="160"/>
        <w:ind w:left="1814"/>
        <w:jc w:val="both"/>
        <w:rPr>
          <w:rFonts w:ascii="Arial" w:hAnsi="Arial" w:cs="Arial"/>
        </w:rPr>
      </w:pPr>
      <w:r w:rsidRPr="001D13E6">
        <w:rPr>
          <w:rFonts w:ascii="Arial" w:hAnsi="Arial" w:cs="Arial"/>
        </w:rPr>
        <w:t>Di seguito si riportano le formule</w:t>
      </w:r>
      <w:r w:rsidRPr="001D13E6">
        <w:rPr>
          <w:rFonts w:ascii="Arial" w:hAnsi="Arial" w:cs="Arial"/>
          <w:vertAlign w:val="superscript"/>
        </w:rPr>
        <w:footnoteReference w:id="7"/>
      </w:r>
      <w:r w:rsidRPr="001D13E6">
        <w:rPr>
          <w:rFonts w:ascii="Arial" w:hAnsi="Arial" w:cs="Arial"/>
        </w:rPr>
        <w:t xml:space="preserve"> per il calcolo delle variazioni mensili e di periodo (trimestri, semestri, anni, ecc.), utilizzate per i tre indici NIC, FOI, IPCA. Per gli indici IPCA-TC valgono le stesse regole degli indici IPCA. Le prime tre formule riguardano il calcolo di variazioni nel caso in cui gli indici sono espressi nella stessa base di riferimento:</w:t>
      </w:r>
    </w:p>
    <w:p w:rsidR="000E79A9" w:rsidRPr="001D13E6" w:rsidRDefault="000E79A9" w:rsidP="000E79A9">
      <w:pPr>
        <w:widowControl/>
        <w:overflowPunct/>
        <w:autoSpaceDE/>
        <w:autoSpaceDN/>
        <w:adjustRightInd/>
        <w:spacing w:before="0" w:after="120"/>
        <w:ind w:left="1814"/>
        <w:jc w:val="both"/>
        <w:rPr>
          <w:rFonts w:ascii="Arial" w:hAnsi="Arial" w:cs="Arial"/>
        </w:rPr>
      </w:pPr>
      <w:r w:rsidRPr="001D13E6">
        <w:rPr>
          <w:rFonts w:ascii="Arial" w:hAnsi="Arial" w:cs="Arial"/>
          <w:noProof/>
        </w:rPr>
        <w:drawing>
          <wp:inline distT="0" distB="0" distL="0" distR="0" wp14:anchorId="762B7CA9" wp14:editId="7D5A5627">
            <wp:extent cx="57150" cy="9525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Variazione percentuale tra indici mensili (</w:t>
      </w:r>
      <w:r w:rsidRPr="001D13E6">
        <w:rPr>
          <w:rFonts w:ascii="Arial" w:hAnsi="Arial" w:cs="Arial"/>
          <w:b/>
          <w:color w:val="333333"/>
        </w:rPr>
        <w:t>NIC, FOI, IPCA</w:t>
      </w:r>
      <w:r w:rsidRPr="001D13E6">
        <w:rPr>
          <w:rFonts w:ascii="Arial" w:hAnsi="Arial" w:cs="Arial"/>
        </w:rPr>
        <w:t>)</w:t>
      </w:r>
    </w:p>
    <w:p w:rsidR="000E79A9" w:rsidRPr="001D13E6" w:rsidRDefault="00823241" w:rsidP="000E79A9">
      <w:pPr>
        <w:spacing w:before="0" w:after="120"/>
        <w:ind w:left="1814"/>
        <w:jc w:val="both"/>
        <w:rPr>
          <w:rFonts w:ascii="Arial" w:hAnsi="Arial" w:cs="Arial"/>
          <w:sz w:val="16"/>
          <w:szCs w:val="16"/>
        </w:rPr>
      </w:pPr>
      <w:r>
        <w:rPr>
          <w:noProof/>
        </w:rPr>
        <w:pict>
          <v:shape id="_x0000_s1194" type="#_x0000_t75" style="position:absolute;left:0;text-align:left;margin-left:129.05pt;margin-top:1.65pt;width:225pt;height:60.2pt;z-index:251689472">
            <v:imagedata r:id="rId59" o:title=""/>
          </v:shape>
          <o:OLEObject Type="Embed" ProgID="Equation.3" ShapeID="_x0000_s1194" DrawAspect="Content" ObjectID="_1528789142" r:id="rId60"/>
        </w:pict>
      </w:r>
    </w:p>
    <w:p w:rsidR="000E79A9" w:rsidRPr="001D13E6" w:rsidRDefault="000E79A9" w:rsidP="000E79A9">
      <w:pPr>
        <w:spacing w:before="0" w:after="120"/>
        <w:ind w:left="1814"/>
        <w:jc w:val="both"/>
        <w:rPr>
          <w:rFonts w:ascii="Arial" w:hAnsi="Arial" w:cs="Arial"/>
          <w:sz w:val="10"/>
          <w:szCs w:val="10"/>
        </w:rPr>
      </w:pPr>
    </w:p>
    <w:p w:rsidR="000E79A9" w:rsidRPr="001D13E6" w:rsidRDefault="000E79A9" w:rsidP="000E79A9">
      <w:pPr>
        <w:spacing w:before="0" w:after="120"/>
        <w:ind w:left="1814"/>
        <w:jc w:val="both"/>
        <w:rPr>
          <w:rFonts w:ascii="Arial" w:hAnsi="Arial" w:cs="Arial"/>
        </w:rPr>
      </w:pPr>
      <w:r w:rsidRPr="001D13E6">
        <w:rPr>
          <w:rFonts w:ascii="Arial" w:hAnsi="Arial" w:cs="Arial"/>
        </w:rPr>
        <w:t>(1)</w:t>
      </w:r>
    </w:p>
    <w:p w:rsidR="000E79A9" w:rsidRPr="001D13E6" w:rsidRDefault="000E79A9" w:rsidP="000E79A9">
      <w:pPr>
        <w:spacing w:before="0" w:after="240"/>
        <w:ind w:left="1814"/>
        <w:jc w:val="both"/>
        <w:rPr>
          <w:rFonts w:ascii="Arial" w:hAnsi="Arial" w:cs="Arial"/>
        </w:rPr>
      </w:pPr>
    </w:p>
    <w:p w:rsidR="000E79A9" w:rsidRPr="001D13E6" w:rsidRDefault="000E79A9" w:rsidP="000E79A9">
      <w:pPr>
        <w:spacing w:before="120" w:after="240"/>
        <w:ind w:left="1814"/>
        <w:jc w:val="both"/>
        <w:rPr>
          <w:rFonts w:ascii="Arial" w:hAnsi="Arial" w:cs="Arial"/>
        </w:rPr>
      </w:pPr>
      <w:r w:rsidRPr="001D13E6">
        <w:rPr>
          <w:rFonts w:ascii="Arial" w:hAnsi="Arial" w:cs="Arial"/>
        </w:rPr>
        <w:lastRenderedPageBreak/>
        <w:t xml:space="preserve">dove </w:t>
      </w:r>
      <w:r w:rsidRPr="001D13E6">
        <w:rPr>
          <w:rFonts w:ascii="Arial" w:hAnsi="Arial" w:cs="Arial"/>
          <w:position w:val="-14"/>
        </w:rPr>
        <w:object w:dxaOrig="440" w:dyaOrig="360">
          <v:shape id="_x0000_i1029" type="#_x0000_t75" style="width:21.3pt;height:18.15pt" o:ole="">
            <v:imagedata r:id="rId61" o:title=""/>
          </v:shape>
          <o:OLEObject Type="Embed" ProgID="Equation.3" ShapeID="_x0000_i1029" DrawAspect="Content" ObjectID="_1528789127" r:id="rId62"/>
        </w:object>
      </w:r>
      <w:r w:rsidRPr="001D13E6">
        <w:rPr>
          <w:rFonts w:ascii="Arial" w:hAnsi="Arial" w:cs="Arial"/>
        </w:rPr>
        <w:t xml:space="preserve"> rappresenta l’indice, arrotondato al primo decimale, del mese </w:t>
      </w:r>
      <w:r w:rsidRPr="001D13E6">
        <w:rPr>
          <w:rFonts w:ascii="Arial" w:hAnsi="Arial" w:cs="Arial"/>
          <w:i/>
        </w:rPr>
        <w:t xml:space="preserve">m </w:t>
      </w:r>
      <w:r w:rsidRPr="001D13E6">
        <w:rPr>
          <w:rFonts w:ascii="Arial" w:hAnsi="Arial" w:cs="Arial"/>
        </w:rPr>
        <w:t xml:space="preserve">dell’anno </w:t>
      </w:r>
      <w:r w:rsidRPr="001D13E6">
        <w:rPr>
          <w:rFonts w:ascii="Arial" w:hAnsi="Arial" w:cs="Arial"/>
          <w:i/>
        </w:rPr>
        <w:t>a,</w:t>
      </w:r>
      <w:r w:rsidRPr="001D13E6">
        <w:rPr>
          <w:rFonts w:ascii="Arial" w:hAnsi="Arial" w:cs="Arial"/>
        </w:rPr>
        <w:t xml:space="preserve"> </w:t>
      </w:r>
      <w:r w:rsidRPr="001D13E6">
        <w:rPr>
          <w:rFonts w:ascii="Arial" w:hAnsi="Arial" w:cs="Arial"/>
          <w:position w:val="-14"/>
        </w:rPr>
        <w:object w:dxaOrig="380" w:dyaOrig="360">
          <v:shape id="_x0000_i1030" type="#_x0000_t75" style="width:18.15pt;height:18.15pt" o:ole="">
            <v:imagedata r:id="rId63" o:title=""/>
          </v:shape>
          <o:OLEObject Type="Embed" ProgID="Equation.3" ShapeID="_x0000_i1030" DrawAspect="Content" ObjectID="_1528789128" r:id="rId64"/>
        </w:object>
      </w:r>
      <w:r w:rsidRPr="001D13E6">
        <w:rPr>
          <w:rFonts w:ascii="Arial" w:hAnsi="Arial" w:cs="Arial"/>
        </w:rPr>
        <w:t xml:space="preserve"> rappresenta l’indice, arrotondato al primo decimale, del mese </w:t>
      </w:r>
      <w:r w:rsidRPr="001D13E6">
        <w:rPr>
          <w:rFonts w:ascii="Arial" w:hAnsi="Arial" w:cs="Arial"/>
          <w:i/>
        </w:rPr>
        <w:t xml:space="preserve">n </w:t>
      </w:r>
      <w:r w:rsidRPr="001D13E6">
        <w:rPr>
          <w:rFonts w:ascii="Arial" w:hAnsi="Arial" w:cs="Arial"/>
        </w:rPr>
        <w:t xml:space="preserve">dell’anno </w:t>
      </w:r>
      <w:r w:rsidRPr="001D13E6">
        <w:rPr>
          <w:rFonts w:ascii="Arial" w:hAnsi="Arial" w:cs="Arial"/>
          <w:i/>
        </w:rPr>
        <w:t>b</w:t>
      </w:r>
      <w:r w:rsidRPr="001D13E6">
        <w:rPr>
          <w:rFonts w:ascii="Arial" w:hAnsi="Arial" w:cs="Arial"/>
        </w:rPr>
        <w:t xml:space="preserve">  e </w:t>
      </w:r>
      <w:r w:rsidRPr="001D13E6">
        <w:rPr>
          <w:rFonts w:ascii="Arial" w:hAnsi="Arial" w:cs="Arial"/>
          <w:position w:val="-10"/>
        </w:rPr>
        <w:object w:dxaOrig="440" w:dyaOrig="320">
          <v:shape id="_x0000_i1031" type="#_x0000_t75" style="width:22.55pt;height:16.9pt" o:ole="" filled="t">
            <v:imagedata r:id="rId65" o:title=""/>
          </v:shape>
          <o:OLEObject Type="Embed" ProgID="Equation.3" ShapeID="_x0000_i1031" DrawAspect="Content" ObjectID="_1528789129" r:id="rId66"/>
        </w:object>
      </w:r>
      <w:r w:rsidRPr="001D13E6">
        <w:rPr>
          <w:rFonts w:ascii="Arial" w:hAnsi="Arial" w:cs="Arial"/>
        </w:rPr>
        <w:t xml:space="preserve"> </w:t>
      </w:r>
      <w:r w:rsidRPr="001D13E6">
        <w:rPr>
          <w:rFonts w:ascii="Arial" w:hAnsi="Arial" w:cs="Arial"/>
          <w:i/>
        </w:rPr>
        <w:t xml:space="preserve"> </w:t>
      </w:r>
      <w:r w:rsidRPr="001D13E6">
        <w:rPr>
          <w:rFonts w:ascii="Arial" w:hAnsi="Arial" w:cs="Arial"/>
        </w:rPr>
        <w:t>l’operatore di arrotondamento al primo decimale.</w:t>
      </w:r>
    </w:p>
    <w:p w:rsidR="000E79A9" w:rsidRPr="001D13E6" w:rsidRDefault="000E79A9" w:rsidP="000E79A9">
      <w:pPr>
        <w:widowControl/>
        <w:overflowPunct/>
        <w:autoSpaceDE/>
        <w:autoSpaceDN/>
        <w:adjustRightInd/>
        <w:spacing w:before="120" w:after="120"/>
        <w:ind w:left="1814"/>
        <w:jc w:val="both"/>
        <w:rPr>
          <w:rFonts w:ascii="Arial" w:hAnsi="Arial" w:cs="Arial"/>
        </w:rPr>
      </w:pPr>
      <w:r w:rsidRPr="001D13E6">
        <w:rPr>
          <w:rFonts w:ascii="Arial" w:hAnsi="Arial" w:cs="Arial"/>
          <w:noProof/>
        </w:rPr>
        <w:drawing>
          <wp:inline distT="0" distB="0" distL="0" distR="0" wp14:anchorId="0DA812A1" wp14:editId="03DF52BB">
            <wp:extent cx="57150" cy="9525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Variazione tra l’indice medio dell’anno </w:t>
      </w:r>
      <w:r w:rsidRPr="001D13E6">
        <w:rPr>
          <w:rFonts w:ascii="Arial" w:hAnsi="Arial" w:cs="Arial"/>
          <w:i/>
        </w:rPr>
        <w:t>a</w:t>
      </w:r>
      <w:r w:rsidRPr="001D13E6">
        <w:rPr>
          <w:rFonts w:ascii="Arial" w:hAnsi="Arial" w:cs="Arial"/>
        </w:rPr>
        <w:t xml:space="preserve"> e l’indice medio dell’anno </w:t>
      </w:r>
      <w:r w:rsidRPr="001D13E6">
        <w:rPr>
          <w:rFonts w:ascii="Arial" w:hAnsi="Arial" w:cs="Arial"/>
          <w:i/>
        </w:rPr>
        <w:t>b</w:t>
      </w:r>
      <w:r w:rsidRPr="001D13E6">
        <w:rPr>
          <w:rFonts w:ascii="Arial" w:hAnsi="Arial" w:cs="Arial"/>
        </w:rPr>
        <w:t xml:space="preserve"> (</w:t>
      </w:r>
      <w:r w:rsidRPr="001D13E6">
        <w:rPr>
          <w:rFonts w:ascii="Arial" w:hAnsi="Arial" w:cs="Arial"/>
          <w:b/>
          <w:color w:val="333333"/>
        </w:rPr>
        <w:t>NIC e FOI</w:t>
      </w:r>
      <w:r w:rsidRPr="001D13E6">
        <w:rPr>
          <w:rFonts w:ascii="Arial" w:hAnsi="Arial" w:cs="Arial"/>
        </w:rPr>
        <w:t>)</w:t>
      </w:r>
    </w:p>
    <w:p w:rsidR="000E79A9" w:rsidRPr="001D13E6" w:rsidRDefault="00823241" w:rsidP="000E79A9">
      <w:pPr>
        <w:spacing w:before="0" w:after="120"/>
        <w:ind w:left="1814"/>
        <w:jc w:val="both"/>
        <w:rPr>
          <w:rFonts w:ascii="Arial" w:hAnsi="Arial" w:cs="Arial"/>
          <w:sz w:val="16"/>
          <w:szCs w:val="16"/>
        </w:rPr>
      </w:pPr>
      <w:r>
        <w:rPr>
          <w:noProof/>
        </w:rPr>
        <w:pict>
          <v:shape id="_x0000_s1195" type="#_x0000_t75" style="position:absolute;left:0;text-align:left;margin-left:135.05pt;margin-top:4.35pt;width:190.75pt;height:57.6pt;z-index:251690496">
            <v:imagedata r:id="rId67" o:title=""/>
          </v:shape>
          <o:OLEObject Type="Embed" ProgID="Equation.3" ShapeID="_x0000_s1195" DrawAspect="Content" ObjectID="_1528789143" r:id="rId68"/>
        </w:pict>
      </w:r>
    </w:p>
    <w:p w:rsidR="000E79A9" w:rsidRPr="001D13E6" w:rsidRDefault="000E79A9" w:rsidP="000E79A9">
      <w:pPr>
        <w:spacing w:before="0" w:after="120"/>
        <w:ind w:left="1814"/>
        <w:jc w:val="both"/>
        <w:rPr>
          <w:rFonts w:ascii="Arial" w:hAnsi="Arial" w:cs="Arial"/>
          <w:sz w:val="14"/>
          <w:szCs w:val="14"/>
        </w:rPr>
      </w:pPr>
    </w:p>
    <w:p w:rsidR="000E79A9" w:rsidRPr="001D13E6" w:rsidRDefault="000E79A9" w:rsidP="000E79A9">
      <w:pPr>
        <w:spacing w:before="0" w:after="120"/>
        <w:ind w:left="1814"/>
        <w:jc w:val="both"/>
        <w:rPr>
          <w:rFonts w:ascii="Arial" w:hAnsi="Arial" w:cs="Arial"/>
        </w:rPr>
      </w:pPr>
      <w:r w:rsidRPr="001D13E6">
        <w:rPr>
          <w:rFonts w:ascii="Arial" w:hAnsi="Arial" w:cs="Arial"/>
        </w:rPr>
        <w:t>(2)</w:t>
      </w:r>
    </w:p>
    <w:p w:rsidR="000E79A9" w:rsidRPr="001D13E6" w:rsidRDefault="000E79A9" w:rsidP="000E79A9">
      <w:pPr>
        <w:spacing w:before="0" w:after="120"/>
        <w:ind w:left="1814"/>
        <w:jc w:val="both"/>
        <w:rPr>
          <w:rFonts w:ascii="Arial" w:hAnsi="Arial" w:cs="Arial"/>
        </w:rPr>
      </w:pPr>
    </w:p>
    <w:p w:rsidR="000E79A9" w:rsidRPr="001D13E6" w:rsidRDefault="000E79A9" w:rsidP="000E79A9">
      <w:pPr>
        <w:spacing w:before="0" w:after="120"/>
        <w:ind w:left="1814"/>
        <w:jc w:val="both"/>
        <w:rPr>
          <w:rFonts w:ascii="Arial" w:hAnsi="Arial" w:cs="Arial"/>
          <w:sz w:val="16"/>
          <w:szCs w:val="16"/>
        </w:rPr>
      </w:pPr>
    </w:p>
    <w:p w:rsidR="000E79A9" w:rsidRPr="001D13E6" w:rsidRDefault="000E79A9" w:rsidP="000E79A9">
      <w:pPr>
        <w:spacing w:before="0" w:after="240"/>
        <w:ind w:left="1814"/>
        <w:jc w:val="both"/>
        <w:rPr>
          <w:rFonts w:ascii="Arial" w:hAnsi="Arial" w:cs="Arial"/>
        </w:rPr>
      </w:pPr>
      <w:r w:rsidRPr="001D13E6">
        <w:rPr>
          <w:rFonts w:ascii="Arial" w:hAnsi="Arial" w:cs="Arial"/>
        </w:rPr>
        <w:t xml:space="preserve">dove </w:t>
      </w:r>
      <w:r w:rsidRPr="001D13E6">
        <w:rPr>
          <w:rFonts w:ascii="Arial" w:hAnsi="Arial" w:cs="Arial"/>
          <w:position w:val="-10"/>
        </w:rPr>
        <w:object w:dxaOrig="260" w:dyaOrig="320">
          <v:shape id="_x0000_i1032" type="#_x0000_t75" style="width:12.5pt;height:16.3pt" o:ole="">
            <v:imagedata r:id="rId69" o:title=""/>
          </v:shape>
          <o:OLEObject Type="Embed" ProgID="Equation.3" ShapeID="_x0000_i1032" DrawAspect="Content" ObjectID="_1528789130" r:id="rId70"/>
        </w:object>
      </w:r>
      <w:r w:rsidRPr="001D13E6">
        <w:rPr>
          <w:rFonts w:ascii="Arial" w:hAnsi="Arial" w:cs="Arial"/>
        </w:rPr>
        <w:t xml:space="preserve">  rappresenta l’indice medio, arrotondato al primo decimale, dell’anno </w:t>
      </w:r>
      <w:r w:rsidRPr="001D13E6">
        <w:rPr>
          <w:rFonts w:ascii="Arial" w:hAnsi="Arial" w:cs="Arial"/>
          <w:i/>
        </w:rPr>
        <w:t xml:space="preserve">a, </w:t>
      </w:r>
      <w:r w:rsidRPr="001D13E6">
        <w:rPr>
          <w:rFonts w:ascii="Arial" w:hAnsi="Arial" w:cs="Arial"/>
          <w:position w:val="-10"/>
        </w:rPr>
        <w:object w:dxaOrig="260" w:dyaOrig="320">
          <v:shape id="_x0000_i1033" type="#_x0000_t75" style="width:12.5pt;height:16.3pt" o:ole="">
            <v:imagedata r:id="rId71" o:title=""/>
          </v:shape>
          <o:OLEObject Type="Embed" ProgID="Equation.3" ShapeID="_x0000_i1033" DrawAspect="Content" ObjectID="_1528789131" r:id="rId72"/>
        </w:object>
      </w:r>
      <w:r w:rsidRPr="001D13E6">
        <w:rPr>
          <w:rFonts w:ascii="Arial" w:hAnsi="Arial" w:cs="Arial"/>
        </w:rPr>
        <w:t xml:space="preserve">  rappresenta l’indice medio, arrotondato al primo decimale, dell’anno </w:t>
      </w:r>
      <w:r w:rsidRPr="001D13E6">
        <w:rPr>
          <w:rFonts w:ascii="Arial" w:hAnsi="Arial" w:cs="Arial"/>
          <w:i/>
        </w:rPr>
        <w:t>b</w:t>
      </w:r>
      <w:r w:rsidRPr="001D13E6">
        <w:rPr>
          <w:rFonts w:ascii="Arial" w:hAnsi="Arial" w:cs="Arial"/>
        </w:rPr>
        <w:t>.</w:t>
      </w:r>
    </w:p>
    <w:p w:rsidR="000E79A9" w:rsidRPr="001D13E6" w:rsidRDefault="000E79A9" w:rsidP="000E79A9">
      <w:pPr>
        <w:widowControl/>
        <w:overflowPunct/>
        <w:autoSpaceDE/>
        <w:autoSpaceDN/>
        <w:adjustRightInd/>
        <w:spacing w:before="0" w:after="120"/>
        <w:ind w:left="1814"/>
        <w:jc w:val="both"/>
        <w:rPr>
          <w:rFonts w:ascii="Arial" w:hAnsi="Arial" w:cs="Arial"/>
        </w:rPr>
      </w:pPr>
      <w:r w:rsidRPr="001D13E6">
        <w:rPr>
          <w:rFonts w:ascii="Arial" w:hAnsi="Arial" w:cs="Arial"/>
          <w:noProof/>
        </w:rPr>
        <w:drawing>
          <wp:inline distT="0" distB="0" distL="0" distR="0" wp14:anchorId="297571CE" wp14:editId="199BA336">
            <wp:extent cx="57150" cy="9525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Variazione tra l’indice medio dell’anno </w:t>
      </w:r>
      <w:r w:rsidRPr="001D13E6">
        <w:rPr>
          <w:rFonts w:ascii="Arial" w:hAnsi="Arial" w:cs="Arial"/>
          <w:i/>
        </w:rPr>
        <w:t>a</w:t>
      </w:r>
      <w:r w:rsidRPr="001D13E6">
        <w:rPr>
          <w:rFonts w:ascii="Arial" w:hAnsi="Arial" w:cs="Arial"/>
        </w:rPr>
        <w:t xml:space="preserve"> e l’indice medio dell’anno </w:t>
      </w:r>
      <w:r w:rsidRPr="001D13E6">
        <w:rPr>
          <w:rFonts w:ascii="Arial" w:hAnsi="Arial" w:cs="Arial"/>
          <w:i/>
        </w:rPr>
        <w:t xml:space="preserve">b </w:t>
      </w:r>
      <w:r w:rsidRPr="001D13E6">
        <w:rPr>
          <w:rFonts w:ascii="Arial" w:hAnsi="Arial" w:cs="Arial"/>
        </w:rPr>
        <w:t>(</w:t>
      </w:r>
      <w:r w:rsidRPr="001D13E6">
        <w:rPr>
          <w:rFonts w:ascii="Arial" w:hAnsi="Arial" w:cs="Arial"/>
          <w:b/>
          <w:color w:val="333333"/>
        </w:rPr>
        <w:t>IPCA</w:t>
      </w:r>
      <w:r w:rsidRPr="001D13E6">
        <w:rPr>
          <w:rFonts w:ascii="Arial" w:hAnsi="Arial" w:cs="Arial"/>
        </w:rPr>
        <w:t>)</w:t>
      </w:r>
    </w:p>
    <w:p w:rsidR="000E79A9" w:rsidRPr="001D13E6" w:rsidRDefault="00823241" w:rsidP="000E79A9">
      <w:pPr>
        <w:spacing w:before="0" w:after="120"/>
        <w:ind w:left="1814"/>
        <w:jc w:val="both"/>
        <w:rPr>
          <w:rFonts w:ascii="Arial" w:hAnsi="Arial" w:cs="Arial"/>
          <w:sz w:val="16"/>
          <w:szCs w:val="16"/>
        </w:rPr>
      </w:pPr>
      <w:r>
        <w:rPr>
          <w:noProof/>
        </w:rPr>
        <w:pict>
          <v:shape id="_x0000_s1196" type="#_x0000_t75" style="position:absolute;left:0;text-align:left;margin-left:129.05pt;margin-top:.5pt;width:219pt;height:68.5pt;z-index:-251624960" filled="t">
            <v:imagedata r:id="rId73" o:title=""/>
          </v:shape>
          <o:OLEObject Type="Embed" ProgID="Equation.3" ShapeID="_x0000_s1196" DrawAspect="Content" ObjectID="_1528789144" r:id="rId74"/>
        </w:pict>
      </w:r>
    </w:p>
    <w:p w:rsidR="000E79A9" w:rsidRPr="001D13E6" w:rsidRDefault="000E79A9" w:rsidP="000E79A9">
      <w:pPr>
        <w:spacing w:before="0" w:after="120"/>
        <w:ind w:left="1814"/>
        <w:jc w:val="both"/>
        <w:rPr>
          <w:rFonts w:ascii="Arial" w:hAnsi="Arial" w:cs="Arial"/>
          <w:sz w:val="10"/>
          <w:szCs w:val="10"/>
        </w:rPr>
      </w:pPr>
    </w:p>
    <w:p w:rsidR="000E79A9" w:rsidRPr="001D13E6" w:rsidRDefault="000E79A9" w:rsidP="000E79A9">
      <w:pPr>
        <w:spacing w:before="0" w:after="120"/>
        <w:ind w:left="1814"/>
        <w:jc w:val="both"/>
        <w:rPr>
          <w:rFonts w:ascii="Arial" w:hAnsi="Arial" w:cs="Arial"/>
        </w:rPr>
      </w:pPr>
      <w:r w:rsidRPr="001D13E6">
        <w:rPr>
          <w:rFonts w:ascii="Arial" w:hAnsi="Arial" w:cs="Arial"/>
        </w:rPr>
        <w:t>(3)</w:t>
      </w:r>
    </w:p>
    <w:p w:rsidR="000E79A9" w:rsidRPr="001D13E6" w:rsidRDefault="000E79A9" w:rsidP="000E79A9">
      <w:pPr>
        <w:spacing w:before="0" w:after="120"/>
        <w:ind w:left="1814"/>
        <w:jc w:val="both"/>
        <w:rPr>
          <w:rFonts w:ascii="Arial" w:hAnsi="Arial" w:cs="Arial"/>
          <w:b/>
          <w:sz w:val="16"/>
          <w:szCs w:val="16"/>
        </w:rPr>
      </w:pPr>
    </w:p>
    <w:p w:rsidR="000E79A9" w:rsidRPr="001D13E6" w:rsidRDefault="000E79A9" w:rsidP="000E79A9">
      <w:pPr>
        <w:spacing w:before="0" w:after="120"/>
        <w:ind w:left="1814"/>
        <w:jc w:val="both"/>
        <w:rPr>
          <w:rFonts w:ascii="Arial" w:hAnsi="Arial" w:cs="Arial"/>
        </w:rPr>
      </w:pPr>
    </w:p>
    <w:p w:rsidR="000E79A9" w:rsidRPr="001D13E6" w:rsidRDefault="000E79A9" w:rsidP="000E79A9">
      <w:pPr>
        <w:spacing w:before="120" w:after="120"/>
        <w:ind w:left="1814"/>
        <w:jc w:val="both"/>
        <w:rPr>
          <w:rFonts w:ascii="Arial" w:hAnsi="Arial" w:cs="Arial"/>
          <w:sz w:val="2"/>
          <w:szCs w:val="2"/>
        </w:rPr>
      </w:pPr>
    </w:p>
    <w:p w:rsidR="000E79A9" w:rsidRPr="001D13E6" w:rsidRDefault="000E79A9" w:rsidP="000E79A9">
      <w:pPr>
        <w:spacing w:before="120" w:after="120"/>
        <w:ind w:left="1814"/>
        <w:jc w:val="both"/>
        <w:rPr>
          <w:rFonts w:ascii="Arial" w:hAnsi="Arial" w:cs="Arial"/>
        </w:rPr>
      </w:pPr>
      <w:r w:rsidRPr="001D13E6">
        <w:rPr>
          <w:rFonts w:ascii="Arial" w:hAnsi="Arial" w:cs="Arial"/>
        </w:rPr>
        <w:t>Come si può notare, per gli indici IPCA (e IPCA-TC), diversamente dagli indici NIC e FOI, le variazioni di periodo sono calcolate partendo dal rapporto tra la somma degli indici mensili dei periodi che si vogliono mettere a confronto e arrotondando il risultato finale del calcolo alla prima cifra decimale. Tale metodo, applicato in conformità con quanto indicato da Eurostat, assicura una maggiore comparabilità internazionale dei dati. Si fa presente che i risultati della sua applicazione possono essere diversi da quelli che si ottengono seguendo il criterio standard, ovvero rapportando direttamente gli indici medi di periodo arrotondati ad una cifra decimale.</w:t>
      </w:r>
    </w:p>
    <w:p w:rsidR="000E79A9" w:rsidRPr="001D13E6" w:rsidRDefault="000E79A9" w:rsidP="000E79A9">
      <w:pPr>
        <w:spacing w:before="160" w:after="240"/>
        <w:ind w:left="1814"/>
        <w:jc w:val="both"/>
        <w:rPr>
          <w:rFonts w:ascii="Arial" w:hAnsi="Arial" w:cs="Arial"/>
        </w:rPr>
      </w:pPr>
      <w:r w:rsidRPr="001D13E6">
        <w:rPr>
          <w:rFonts w:ascii="Arial" w:hAnsi="Arial" w:cs="Arial"/>
        </w:rPr>
        <w:t>La formula di seguito riportata descrive il calcolo delle variazioni tra indici mensili in base diversa; tale formula può essere utilizzata anche per il calcolo di variazioni tra indici di periodi più ampi di quelli mensili:</w:t>
      </w:r>
    </w:p>
    <w:p w:rsidR="000E79A9" w:rsidRPr="001D13E6" w:rsidRDefault="000E79A9" w:rsidP="000E79A9">
      <w:pPr>
        <w:widowControl/>
        <w:overflowPunct/>
        <w:autoSpaceDE/>
        <w:autoSpaceDN/>
        <w:adjustRightInd/>
        <w:spacing w:before="0" w:after="120"/>
        <w:ind w:left="1814"/>
        <w:jc w:val="both"/>
        <w:rPr>
          <w:rFonts w:ascii="Arial" w:hAnsi="Arial" w:cs="Arial"/>
          <w:i/>
        </w:rPr>
      </w:pPr>
      <w:r w:rsidRPr="001D13E6">
        <w:rPr>
          <w:rFonts w:ascii="Arial" w:hAnsi="Arial" w:cs="Arial"/>
          <w:noProof/>
        </w:rPr>
        <w:drawing>
          <wp:inline distT="0" distB="0" distL="0" distR="0" wp14:anchorId="02D10B03" wp14:editId="28A03501">
            <wp:extent cx="57150" cy="9525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1D13E6">
        <w:rPr>
          <w:rFonts w:ascii="Arial" w:hAnsi="Arial" w:cs="Arial"/>
        </w:rPr>
        <w:t xml:space="preserve"> Variazione percentuale tra indici mensili</w:t>
      </w:r>
      <w:r w:rsidRPr="001D13E6">
        <w:rPr>
          <w:rFonts w:ascii="Arial" w:hAnsi="Arial" w:cs="Arial"/>
          <w:b/>
        </w:rPr>
        <w:t xml:space="preserve"> </w:t>
      </w:r>
      <w:r w:rsidRPr="001D13E6">
        <w:rPr>
          <w:rFonts w:ascii="Arial" w:hAnsi="Arial" w:cs="Arial"/>
          <w:b/>
          <w:color w:val="333333"/>
        </w:rPr>
        <w:t>con base di riferimento diversa</w:t>
      </w:r>
      <w:r w:rsidRPr="001D13E6">
        <w:rPr>
          <w:rFonts w:ascii="Arial" w:hAnsi="Arial" w:cs="Arial"/>
          <w:i/>
        </w:rPr>
        <w:t xml:space="preserve"> </w:t>
      </w:r>
    </w:p>
    <w:p w:rsidR="000E79A9" w:rsidRPr="001D13E6" w:rsidRDefault="000E79A9" w:rsidP="000E79A9">
      <w:pPr>
        <w:spacing w:after="120"/>
        <w:ind w:left="1843"/>
        <w:rPr>
          <w:rFonts w:ascii="Arial" w:hAnsi="Arial" w:cs="Arial"/>
        </w:rPr>
      </w:pPr>
      <w:r w:rsidRPr="001D13E6">
        <w:rPr>
          <w:rFonts w:ascii="Arial" w:hAnsi="Arial" w:cs="Arial"/>
        </w:rPr>
        <w:t xml:space="preserve">(4)   </w:t>
      </w:r>
      <w:r w:rsidRPr="001D13E6">
        <w:rPr>
          <w:rFonts w:ascii="Arial" w:hAnsi="Arial" w:cs="Arial"/>
          <w:position w:val="-42"/>
        </w:rPr>
        <w:object w:dxaOrig="6880" w:dyaOrig="999">
          <v:shape id="_x0000_i1034" type="#_x0000_t75" style="width:410.1pt;height:56.95pt" o:ole="">
            <v:imagedata r:id="rId75" o:title=""/>
          </v:shape>
          <o:OLEObject Type="Embed" ProgID="Equation.3" ShapeID="_x0000_i1034" DrawAspect="Content" ObjectID="_1528789132" r:id="rId76"/>
        </w:object>
      </w:r>
    </w:p>
    <w:p w:rsidR="000E79A9" w:rsidRPr="001D13E6" w:rsidRDefault="000E79A9" w:rsidP="000E79A9">
      <w:pPr>
        <w:spacing w:after="240"/>
        <w:ind w:left="1843"/>
        <w:jc w:val="both"/>
        <w:rPr>
          <w:rFonts w:ascii="Arial" w:hAnsi="Arial" w:cs="Arial"/>
        </w:rPr>
      </w:pPr>
      <w:r w:rsidRPr="001D13E6">
        <w:rPr>
          <w:rFonts w:ascii="Arial" w:hAnsi="Arial" w:cs="Arial"/>
        </w:rPr>
        <w:t xml:space="preserve">dove </w:t>
      </w:r>
      <w:r w:rsidRPr="001D13E6">
        <w:rPr>
          <w:rFonts w:ascii="Arial" w:hAnsi="Arial" w:cs="Arial"/>
          <w:position w:val="-14"/>
        </w:rPr>
        <w:object w:dxaOrig="440" w:dyaOrig="420">
          <v:shape id="_x0000_i1035" type="#_x0000_t75" style="width:21.3pt;height:20.65pt" o:ole="">
            <v:imagedata r:id="rId77" o:title=""/>
          </v:shape>
          <o:OLEObject Type="Embed" ProgID="Equation.3" ShapeID="_x0000_i1035" DrawAspect="Content" ObjectID="_1528789133" r:id="rId78"/>
        </w:object>
      </w:r>
      <w:r w:rsidRPr="001D13E6">
        <w:rPr>
          <w:rFonts w:ascii="Arial" w:hAnsi="Arial" w:cs="Arial"/>
        </w:rPr>
        <w:t xml:space="preserve"> rappresenta l’indice, arrotondato al primo decimale, del mese </w:t>
      </w:r>
      <w:r w:rsidRPr="001D13E6">
        <w:rPr>
          <w:rFonts w:ascii="Arial" w:hAnsi="Arial" w:cs="Arial"/>
          <w:i/>
        </w:rPr>
        <w:t xml:space="preserve">m </w:t>
      </w:r>
      <w:r w:rsidRPr="001D13E6">
        <w:rPr>
          <w:rFonts w:ascii="Arial" w:hAnsi="Arial" w:cs="Arial"/>
        </w:rPr>
        <w:t xml:space="preserve">dell’anno </w:t>
      </w:r>
      <w:r w:rsidRPr="001D13E6">
        <w:rPr>
          <w:rFonts w:ascii="Arial" w:hAnsi="Arial" w:cs="Arial"/>
          <w:i/>
        </w:rPr>
        <w:t>a,</w:t>
      </w:r>
      <w:r w:rsidRPr="001D13E6">
        <w:rPr>
          <w:rFonts w:ascii="Arial" w:hAnsi="Arial" w:cs="Arial"/>
        </w:rPr>
        <w:t xml:space="preserve"> espresso nella base più remota </w:t>
      </w:r>
      <w:r w:rsidRPr="001D13E6">
        <w:rPr>
          <w:rFonts w:ascii="Arial" w:hAnsi="Arial" w:cs="Arial"/>
          <w:position w:val="-10"/>
        </w:rPr>
        <w:object w:dxaOrig="340" w:dyaOrig="340">
          <v:shape id="_x0000_i1036" type="#_x0000_t75" style="width:17.55pt;height:17.55pt" o:ole="">
            <v:imagedata r:id="rId79" o:title=""/>
          </v:shape>
          <o:OLEObject Type="Embed" ProgID="Equation.3" ShapeID="_x0000_i1036" DrawAspect="Content" ObjectID="_1528789134" r:id="rId80"/>
        </w:object>
      </w:r>
      <w:r w:rsidRPr="001D13E6">
        <w:rPr>
          <w:rFonts w:ascii="Arial" w:hAnsi="Arial" w:cs="Arial"/>
        </w:rPr>
        <w:t xml:space="preserve">, </w:t>
      </w:r>
      <w:r w:rsidRPr="001D13E6">
        <w:rPr>
          <w:rFonts w:ascii="Arial" w:hAnsi="Arial" w:cs="Arial"/>
          <w:position w:val="-14"/>
        </w:rPr>
        <w:object w:dxaOrig="400" w:dyaOrig="420">
          <v:shape id="_x0000_i1037" type="#_x0000_t75" style="width:20.05pt;height:20.65pt" o:ole="">
            <v:imagedata r:id="rId81" o:title=""/>
          </v:shape>
          <o:OLEObject Type="Embed" ProgID="Equation.3" ShapeID="_x0000_i1037" DrawAspect="Content" ObjectID="_1528789135" r:id="rId82"/>
        </w:object>
      </w:r>
      <w:r w:rsidRPr="001D13E6">
        <w:rPr>
          <w:rFonts w:ascii="Arial" w:hAnsi="Arial" w:cs="Arial"/>
        </w:rPr>
        <w:t xml:space="preserve"> rappresenta l’indice, arrotondato al primo decimale, del mese </w:t>
      </w:r>
      <w:r w:rsidRPr="001D13E6">
        <w:rPr>
          <w:rFonts w:ascii="Arial" w:hAnsi="Arial" w:cs="Arial"/>
          <w:i/>
        </w:rPr>
        <w:t xml:space="preserve">n </w:t>
      </w:r>
      <w:r w:rsidRPr="001D13E6">
        <w:rPr>
          <w:rFonts w:ascii="Arial" w:hAnsi="Arial" w:cs="Arial"/>
        </w:rPr>
        <w:t xml:space="preserve">dell’anno </w:t>
      </w:r>
      <w:r w:rsidRPr="001D13E6">
        <w:rPr>
          <w:rFonts w:ascii="Arial" w:hAnsi="Arial" w:cs="Arial"/>
          <w:i/>
        </w:rPr>
        <w:t xml:space="preserve">b, </w:t>
      </w:r>
      <w:r w:rsidRPr="001D13E6">
        <w:rPr>
          <w:rFonts w:ascii="Arial" w:hAnsi="Arial" w:cs="Arial"/>
        </w:rPr>
        <w:t>espresso nella base più recente</w:t>
      </w:r>
      <w:r w:rsidRPr="001D13E6">
        <w:rPr>
          <w:rFonts w:ascii="Arial" w:hAnsi="Arial" w:cs="Arial"/>
          <w:i/>
        </w:rPr>
        <w:t xml:space="preserve"> </w:t>
      </w:r>
      <w:r w:rsidRPr="001D13E6">
        <w:rPr>
          <w:rFonts w:ascii="Arial" w:hAnsi="Arial" w:cs="Arial"/>
          <w:position w:val="-12"/>
        </w:rPr>
        <w:object w:dxaOrig="340" w:dyaOrig="360">
          <v:shape id="_x0000_i1038" type="#_x0000_t75" style="width:17.55pt;height:18.15pt" o:ole="">
            <v:imagedata r:id="rId83" o:title=""/>
          </v:shape>
          <o:OLEObject Type="Embed" ProgID="Equation.3" ShapeID="_x0000_i1038" DrawAspect="Content" ObjectID="_1528789136" r:id="rId84"/>
        </w:object>
      </w:r>
      <w:r w:rsidRPr="001D13E6">
        <w:rPr>
          <w:rFonts w:ascii="Arial" w:hAnsi="Arial" w:cs="Arial"/>
        </w:rPr>
        <w:t xml:space="preserve">, e </w:t>
      </w:r>
      <w:r w:rsidRPr="001D13E6">
        <w:rPr>
          <w:rFonts w:ascii="Arial" w:hAnsi="Arial" w:cs="Arial"/>
          <w:position w:val="-12"/>
        </w:rPr>
        <w:object w:dxaOrig="1320" w:dyaOrig="360">
          <v:shape id="_x0000_i1039" type="#_x0000_t75" style="width:58.25pt;height:18.15pt" o:ole="">
            <v:imagedata r:id="rId85" o:title=""/>
          </v:shape>
          <o:OLEObject Type="Embed" ProgID="Equation.3" ShapeID="_x0000_i1039" DrawAspect="Content" ObjectID="_1528789137" r:id="rId86"/>
        </w:object>
      </w:r>
      <w:r w:rsidRPr="001D13E6">
        <w:rPr>
          <w:rFonts w:ascii="Arial" w:hAnsi="Arial" w:cs="Arial"/>
        </w:rPr>
        <w:t xml:space="preserve"> (per </w:t>
      </w:r>
      <w:r w:rsidRPr="001D13E6">
        <w:rPr>
          <w:rFonts w:ascii="Arial" w:hAnsi="Arial" w:cs="Arial"/>
          <w:i/>
        </w:rPr>
        <w:t>i=2…t</w:t>
      </w:r>
      <w:r w:rsidRPr="001D13E6">
        <w:rPr>
          <w:rFonts w:ascii="Arial" w:hAnsi="Arial" w:cs="Arial"/>
        </w:rPr>
        <w:t>) sono i coefficienti di raccordo tra basi contigue. Questi, pari all’indice medio dell’anno corrispondente alla nuova base  espresso nella base immediatamente precedente diviso 100, sono numeri con al massimo tre cifre decimali. I coefficienti utilizzati sono tanti quanti sono i cambiamenti di base verificatisi nell’intervallo di tempo considerato.</w:t>
      </w:r>
    </w:p>
    <w:p w:rsidR="000E79A9" w:rsidRPr="001D13E6" w:rsidRDefault="000E79A9" w:rsidP="000E79A9">
      <w:pPr>
        <w:spacing w:before="120" w:after="120"/>
        <w:ind w:left="1814"/>
        <w:jc w:val="both"/>
        <w:rPr>
          <w:rFonts w:ascii="Arial" w:hAnsi="Arial" w:cs="Arial"/>
        </w:rPr>
      </w:pPr>
      <w:r w:rsidRPr="001D13E6">
        <w:rPr>
          <w:rFonts w:ascii="Arial" w:hAnsi="Arial" w:cs="Arial"/>
        </w:rPr>
        <w:t>Per informazioni di maggior dettaglio sulla metodologia di rilevazione, metodologia di calcolo degli indici e base normativa dell’indagine sui prezzi al consumo si rimanda alla Nota informativa disponibile sul sito web dell’Istat alla pagina “Il sistema dei prezzi al consumo” (</w:t>
      </w:r>
      <w:hyperlink r:id="rId87" w:history="1">
        <w:r w:rsidRPr="001D13E6">
          <w:rPr>
            <w:rFonts w:ascii="Arial" w:hAnsi="Arial" w:cs="Arial"/>
            <w:u w:val="single"/>
          </w:rPr>
          <w:t>http://www.istat.it/it/archivio/17484</w:t>
        </w:r>
      </w:hyperlink>
      <w:r w:rsidRPr="001D13E6">
        <w:rPr>
          <w:rFonts w:ascii="Arial" w:hAnsi="Arial" w:cs="Arial"/>
        </w:rPr>
        <w:t xml:space="preserve">) e alla pubblicazione “Indici dei prezzi al consumo. Aspetti generali e metodologia della rilevazione”, Collana Metodi, sempre disponibile sul sito web dell’Istituto al seguente link:  </w:t>
      </w:r>
      <w:hyperlink r:id="rId88" w:history="1">
        <w:r w:rsidRPr="001D13E6">
          <w:rPr>
            <w:rFonts w:ascii="Arial" w:hAnsi="Arial" w:cs="Arial"/>
            <w:u w:val="single"/>
          </w:rPr>
          <w:t>http://www.istat.it/it/archivio/87824</w:t>
        </w:r>
      </w:hyperlink>
      <w:r w:rsidRPr="001D13E6">
        <w:rPr>
          <w:rFonts w:ascii="Arial" w:hAnsi="Arial" w:cs="Arial"/>
        </w:rPr>
        <w:t>.</w:t>
      </w:r>
    </w:p>
    <w:p w:rsidR="000E79A9" w:rsidRPr="001D13E6" w:rsidRDefault="000E79A9" w:rsidP="000E79A9">
      <w:pPr>
        <w:spacing w:before="480"/>
        <w:ind w:left="1814"/>
        <w:jc w:val="both"/>
        <w:rPr>
          <w:rFonts w:ascii="Arial" w:hAnsi="Arial" w:cs="Arial"/>
          <w:b/>
          <w:color w:val="333333"/>
          <w:sz w:val="22"/>
          <w:szCs w:val="22"/>
        </w:rPr>
      </w:pPr>
      <w:r w:rsidRPr="001D13E6">
        <w:rPr>
          <w:rFonts w:ascii="Arial" w:hAnsi="Arial" w:cs="Arial"/>
          <w:b/>
          <w:color w:val="333333"/>
          <w:sz w:val="22"/>
          <w:szCs w:val="22"/>
        </w:rPr>
        <w:lastRenderedPageBreak/>
        <w:t>Stima preliminare degli indici dei prezzi al consumo IPCA: accuratezza e metodologia di calcolo</w:t>
      </w:r>
    </w:p>
    <w:p w:rsidR="000E79A9" w:rsidRPr="001D13E6" w:rsidRDefault="000E79A9" w:rsidP="000E79A9">
      <w:pPr>
        <w:widowControl/>
        <w:overflowPunct/>
        <w:spacing w:before="0" w:after="60"/>
        <w:ind w:left="1814"/>
        <w:jc w:val="both"/>
        <w:rPr>
          <w:rFonts w:ascii="Arial" w:hAnsi="Arial" w:cs="Arial"/>
          <w:kern w:val="0"/>
        </w:rPr>
      </w:pPr>
      <w:r w:rsidRPr="001D13E6">
        <w:rPr>
          <w:rFonts w:ascii="Arial" w:hAnsi="Arial" w:cs="Arial"/>
          <w:kern w:val="0"/>
        </w:rPr>
        <w:t xml:space="preserve">La diffusione degli indici dei prezzi al consumo avviene in due successivi istanti temporali secondo una diversa modalità di rilascio dei dati: prima come stima provvisoria, poi come stima definitiva. La diffusione della stima provvisoria degli indici IPCA (e degli indici NIC) avviene alla fine del mese di riferimento nel rispetto del calendario Eurostat di diffusione della stima anticipata dell’inflazione nell’area euro. Il rilascio dei dati definitivi avviene generalmente tredici giorni dopo e comunque non oltre la metà del mese successivo a quello di riferimento. </w:t>
      </w:r>
    </w:p>
    <w:p w:rsidR="000E79A9" w:rsidRPr="001D13E6" w:rsidRDefault="000E79A9" w:rsidP="000E79A9">
      <w:pPr>
        <w:spacing w:before="0" w:after="80"/>
        <w:ind w:left="1843"/>
        <w:jc w:val="both"/>
        <w:rPr>
          <w:rFonts w:ascii="Arial" w:hAnsi="Arial" w:cs="Arial"/>
        </w:rPr>
      </w:pPr>
      <w:r w:rsidRPr="001D13E6">
        <w:rPr>
          <w:rFonts w:ascii="Arial" w:hAnsi="Arial" w:cs="Arial"/>
        </w:rPr>
        <w:t>La finalità della diffusione dei dati provvisori, sia dell’indice IPCA sia dall’indice NIC, è quella di fornire in modo più tempestivo informazioni sull’andamento dei prezzi al consumo, stimando nel modo più accurato possibile il dato definitivo dell’inflazione rilasciato circa due settimane dopo. In questo contesto, l’analisi delle revisioni delle stime provvisorie dei tassi tendenziali rappresenta un importante strumento per valutare il corretto bilanciamento tra le due dimensioni della qualità dei dati, tempestività e accuratezza.</w:t>
      </w:r>
    </w:p>
    <w:p w:rsidR="000E79A9" w:rsidRPr="001D13E6" w:rsidRDefault="000E79A9" w:rsidP="000E79A9">
      <w:pPr>
        <w:spacing w:before="0" w:after="120"/>
        <w:ind w:left="1843"/>
        <w:jc w:val="both"/>
        <w:rPr>
          <w:rFonts w:ascii="Arial" w:hAnsi="Arial" w:cs="Arial"/>
        </w:rPr>
      </w:pPr>
      <w:r w:rsidRPr="001D13E6">
        <w:rPr>
          <w:rFonts w:ascii="Arial" w:hAnsi="Arial" w:cs="Arial"/>
        </w:rPr>
        <w:t>In linea con la politica di diffusione Eurostat che pubblica mensilmente una nota sull’accuratezza della stima anticipata dell’inflazione per l’area euro, questa sezione è dedicata all’</w:t>
      </w:r>
      <w:r w:rsidRPr="001D13E6">
        <w:rPr>
          <w:rFonts w:ascii="Arial" w:hAnsi="Arial" w:cs="Arial"/>
          <w:szCs w:val="21"/>
        </w:rPr>
        <w:t>analisi dell’accuratezza e alla metodologia utilizzata per il calcolo della stima preliminare dell’indice IPCA.</w:t>
      </w:r>
    </w:p>
    <w:p w:rsidR="000E79A9" w:rsidRPr="001D13E6" w:rsidRDefault="000E79A9" w:rsidP="000E79A9">
      <w:pPr>
        <w:spacing w:before="260"/>
        <w:ind w:left="1814"/>
        <w:jc w:val="both"/>
        <w:rPr>
          <w:rFonts w:ascii="Arial" w:hAnsi="Arial" w:cs="Arial"/>
          <w:b/>
          <w:color w:val="333333"/>
          <w:sz w:val="22"/>
          <w:szCs w:val="22"/>
        </w:rPr>
      </w:pPr>
      <w:r w:rsidRPr="001D13E6">
        <w:rPr>
          <w:rFonts w:ascii="Arial" w:hAnsi="Arial" w:cs="Arial"/>
          <w:b/>
          <w:color w:val="333333"/>
          <w:sz w:val="22"/>
          <w:szCs w:val="22"/>
        </w:rPr>
        <w:t>Accuratezza delle stime preliminari</w:t>
      </w:r>
    </w:p>
    <w:p w:rsidR="000E79A9" w:rsidRPr="001D13E6" w:rsidRDefault="000E79A9" w:rsidP="000E79A9">
      <w:pPr>
        <w:widowControl/>
        <w:overflowPunct/>
        <w:spacing w:before="0" w:after="80"/>
        <w:ind w:left="1814"/>
        <w:jc w:val="both"/>
        <w:rPr>
          <w:rFonts w:ascii="Arial" w:hAnsi="Arial" w:cs="Arial"/>
          <w:i/>
          <w:kern w:val="0"/>
        </w:rPr>
      </w:pPr>
      <w:r w:rsidRPr="001D13E6">
        <w:rPr>
          <w:rFonts w:ascii="Arial" w:hAnsi="Arial" w:cs="Arial"/>
          <w:kern w:val="0"/>
        </w:rPr>
        <w:t xml:space="preserve">Nel Prospetto 3 sono posti a confronto i tassi di variazione tendenziale provvisori e definitivi dell’indice generale IPCA e dei principali aggregati speciali per il periodo </w:t>
      </w:r>
      <w:r>
        <w:rPr>
          <w:rFonts w:ascii="Arial" w:hAnsi="Arial" w:cs="Arial"/>
          <w:kern w:val="0"/>
        </w:rPr>
        <w:t>maggio</w:t>
      </w:r>
      <w:r w:rsidRPr="001D13E6">
        <w:rPr>
          <w:rFonts w:ascii="Arial" w:hAnsi="Arial" w:cs="Arial"/>
          <w:kern w:val="0"/>
        </w:rPr>
        <w:t xml:space="preserve"> 201</w:t>
      </w:r>
      <w:r>
        <w:rPr>
          <w:rFonts w:ascii="Arial" w:hAnsi="Arial" w:cs="Arial"/>
          <w:kern w:val="0"/>
        </w:rPr>
        <w:t xml:space="preserve">5 </w:t>
      </w:r>
      <w:r w:rsidRPr="001D13E6">
        <w:rPr>
          <w:rFonts w:ascii="Arial" w:hAnsi="Arial" w:cs="Arial"/>
          <w:kern w:val="0"/>
        </w:rPr>
        <w:t>-</w:t>
      </w:r>
      <w:r>
        <w:rPr>
          <w:rFonts w:ascii="Arial" w:hAnsi="Arial" w:cs="Arial"/>
          <w:kern w:val="0"/>
        </w:rPr>
        <w:t xml:space="preserve"> maggio</w:t>
      </w:r>
      <w:r w:rsidRPr="001D13E6">
        <w:rPr>
          <w:rFonts w:ascii="Arial" w:hAnsi="Arial" w:cs="Arial"/>
          <w:kern w:val="0"/>
        </w:rPr>
        <w:t xml:space="preserve"> 201</w:t>
      </w:r>
      <w:r>
        <w:rPr>
          <w:rFonts w:ascii="Arial" w:hAnsi="Arial" w:cs="Arial"/>
          <w:kern w:val="0"/>
        </w:rPr>
        <w:t>6</w:t>
      </w:r>
      <w:r w:rsidRPr="001D13E6">
        <w:rPr>
          <w:rFonts w:ascii="Arial" w:hAnsi="Arial" w:cs="Arial"/>
          <w:kern w:val="0"/>
        </w:rPr>
        <w:t xml:space="preserve">. </w:t>
      </w:r>
      <w:r w:rsidRPr="000C789E">
        <w:rPr>
          <w:rFonts w:ascii="Arial" w:hAnsi="Arial" w:cs="Arial"/>
          <w:kern w:val="0"/>
        </w:rPr>
        <w:t>In questo arco temporale, la differenza maggiore tra la stima provvisoria e quella definitiva del tasso tendenziale dell’indice generale è stata pari a 0,1 punti percentuali</w:t>
      </w:r>
      <w:r w:rsidRPr="00722E20">
        <w:rPr>
          <w:rFonts w:ascii="Arial" w:hAnsi="Arial" w:cs="Arial"/>
          <w:kern w:val="0"/>
        </w:rPr>
        <w:t>. Nello stesso periodo, con riferimento ai principali aggregati speciali, le differenze maggiori tra la stima provvisoria e quella definitiva dei tassi tendenziali hanno interessato l’aggregato dell’Energia (0,4 punti percentuali a gennaio 2016</w:t>
      </w:r>
      <w:r>
        <w:rPr>
          <w:rFonts w:ascii="Arial" w:hAnsi="Arial" w:cs="Arial"/>
          <w:kern w:val="0"/>
        </w:rPr>
        <w:t xml:space="preserve">, </w:t>
      </w:r>
      <w:r w:rsidRPr="00722E20">
        <w:rPr>
          <w:rFonts w:ascii="Arial" w:hAnsi="Arial" w:cs="Arial"/>
          <w:kern w:val="0"/>
        </w:rPr>
        <w:t xml:space="preserve">0,8 punti percentuali ad aprile 2016 </w:t>
      </w:r>
      <w:r>
        <w:rPr>
          <w:rFonts w:ascii="Arial" w:hAnsi="Arial" w:cs="Arial"/>
          <w:kern w:val="0"/>
        </w:rPr>
        <w:t>e 0,2 punti percentuali a maggio 2016</w:t>
      </w:r>
      <w:r w:rsidRPr="00722E20">
        <w:rPr>
          <w:rFonts w:ascii="Arial" w:hAnsi="Arial" w:cs="Arial"/>
          <w:kern w:val="0"/>
        </w:rPr>
        <w:t>), quello dei Beni industriali non energetici (0,5 punti percentuali ad agosto 2015 e 0,2 punti percentuali a settembre 2015 e a gennaio 2016) e quello dei Servizi (0,3 punti percentuali a gennaio 2016). Le differenze, oltre alla più elevata frequenza delle revisioni (10 mesi sui 13 in esame) per l’aggregato dei Beni industriali non energetici sono principalmente da ascrivere alla dinamica dei saldi dell’Abbigliamento e calzature, poiché in questo caso l’incompletezza delle informazioni utilizzate per il calcolo</w:t>
      </w:r>
      <w:r w:rsidRPr="001D13E6">
        <w:rPr>
          <w:rFonts w:ascii="Arial" w:hAnsi="Arial" w:cs="Arial"/>
          <w:kern w:val="0"/>
        </w:rPr>
        <w:t xml:space="preserve"> ha un impatto maggiore sulle stime provvisorie che di conseguenza risultano essere meno accurate.</w:t>
      </w:r>
    </w:p>
    <w:p w:rsidR="000E79A9" w:rsidRPr="008F453A" w:rsidRDefault="000E79A9" w:rsidP="000E79A9">
      <w:pPr>
        <w:spacing w:before="0" w:after="0"/>
        <w:ind w:left="-284"/>
        <w:jc w:val="both"/>
        <w:rPr>
          <w:rFonts w:ascii="Arial Narrow" w:hAnsi="Arial Narrow" w:cs="Arial"/>
          <w:b/>
          <w:color w:val="5F5F5F"/>
          <w:sz w:val="10"/>
          <w:szCs w:val="10"/>
        </w:rPr>
      </w:pPr>
    </w:p>
    <w:p w:rsidR="000E79A9" w:rsidRPr="001D13E6" w:rsidRDefault="000E79A9" w:rsidP="000E79A9">
      <w:pPr>
        <w:spacing w:before="0" w:after="0"/>
        <w:ind w:left="1843"/>
        <w:jc w:val="both"/>
        <w:rPr>
          <w:rFonts w:ascii="Arial Narrow" w:hAnsi="Arial Narrow" w:cs="Arial"/>
          <w:sz w:val="19"/>
          <w:szCs w:val="19"/>
        </w:rPr>
      </w:pPr>
      <w:r w:rsidRPr="001D13E6">
        <w:rPr>
          <w:rFonts w:ascii="Arial Narrow" w:hAnsi="Arial Narrow" w:cs="Arial"/>
          <w:b/>
          <w:color w:val="5F5F5F"/>
        </w:rPr>
        <w:t>PROSPETTO 3. STIME PRELIMINARI E DEFINITIVE DEI TASSI TENDENZIALI DELL’INDICE GENERALE E DEI PRINCIPALI AGGREGATI SPECIALI IPCA</w:t>
      </w:r>
      <w:r w:rsidRPr="001D13E6">
        <w:rPr>
          <w:rFonts w:ascii="Arial Narrow" w:hAnsi="Arial Narrow" w:cs="Arial"/>
          <w:b/>
          <w:color w:val="5F5F5F"/>
        </w:rPr>
        <w:br/>
      </w:r>
      <w:r>
        <w:rPr>
          <w:rFonts w:ascii="Arial Narrow" w:hAnsi="Arial Narrow" w:cs="Arial"/>
          <w:sz w:val="19"/>
          <w:szCs w:val="19"/>
        </w:rPr>
        <w:t>Maggio</w:t>
      </w:r>
      <w:r w:rsidRPr="001D13E6">
        <w:rPr>
          <w:rFonts w:ascii="Arial Narrow" w:hAnsi="Arial Narrow" w:cs="Arial"/>
          <w:sz w:val="19"/>
          <w:szCs w:val="19"/>
        </w:rPr>
        <w:t xml:space="preserve"> 201</w:t>
      </w:r>
      <w:r>
        <w:rPr>
          <w:rFonts w:ascii="Arial Narrow" w:hAnsi="Arial Narrow" w:cs="Arial"/>
          <w:sz w:val="19"/>
          <w:szCs w:val="19"/>
        </w:rPr>
        <w:t>5-maggio 2016</w:t>
      </w:r>
      <w:r w:rsidRPr="001D13E6">
        <w:rPr>
          <w:rFonts w:ascii="Arial Narrow" w:hAnsi="Arial Narrow" w:cs="Arial"/>
          <w:sz w:val="19"/>
          <w:szCs w:val="19"/>
        </w:rPr>
        <w:t>, valori percentuali (base 20</w:t>
      </w:r>
      <w:r>
        <w:rPr>
          <w:rFonts w:ascii="Arial Narrow" w:hAnsi="Arial Narrow" w:cs="Arial"/>
          <w:sz w:val="19"/>
          <w:szCs w:val="19"/>
        </w:rPr>
        <w:t>1</w:t>
      </w:r>
      <w:r w:rsidRPr="001D13E6">
        <w:rPr>
          <w:rFonts w:ascii="Arial Narrow" w:hAnsi="Arial Narrow" w:cs="Arial"/>
          <w:sz w:val="19"/>
          <w:szCs w:val="19"/>
        </w:rPr>
        <w:t>5=100)</w:t>
      </w:r>
    </w:p>
    <w:p w:rsidR="000E79A9" w:rsidRPr="001D13E6" w:rsidRDefault="000E79A9" w:rsidP="000E79A9">
      <w:pPr>
        <w:spacing w:before="0" w:after="60"/>
        <w:ind w:left="1843"/>
        <w:jc w:val="both"/>
        <w:rPr>
          <w:rFonts w:ascii="Arial Narrow" w:hAnsi="Arial Narrow" w:cs="Arial"/>
          <w:sz w:val="2"/>
          <w:szCs w:val="2"/>
        </w:rPr>
      </w:pPr>
    </w:p>
    <w:p w:rsidR="000E79A9" w:rsidRPr="001D13E6" w:rsidRDefault="000E79A9" w:rsidP="000E79A9">
      <w:pPr>
        <w:spacing w:before="0" w:after="60"/>
        <w:ind w:left="567" w:firstLine="1276"/>
        <w:jc w:val="both"/>
        <w:rPr>
          <w:rFonts w:ascii="Arial" w:hAnsi="Arial" w:cs="Arial"/>
          <w:b/>
          <w:color w:val="333333"/>
          <w:sz w:val="14"/>
          <w:szCs w:val="14"/>
        </w:rPr>
      </w:pPr>
      <w:r>
        <w:rPr>
          <w:noProof/>
        </w:rPr>
        <w:tab/>
      </w:r>
      <w:r>
        <w:rPr>
          <w:noProof/>
        </w:rPr>
        <w:fldChar w:fldCharType="begin"/>
      </w:r>
      <w:r>
        <w:rPr>
          <w:noProof/>
        </w:rPr>
        <w:instrText xml:space="preserve"> LINK Excel.Sheet.8 "\\\\nas-balbo\\TICINO55\\Consumo4\\Diffusione\\comunica\\anno 2016\\accuratezza_flash\\grafici_nota_def.xls!tavola!R2C1:R22C15" "" \a \p </w:instrText>
      </w:r>
      <w:r>
        <w:rPr>
          <w:noProof/>
        </w:rPr>
        <w:fldChar w:fldCharType="separate"/>
      </w:r>
      <w:r w:rsidR="005E1C51">
        <w:rPr>
          <w:noProof/>
        </w:rPr>
        <w:object w:dxaOrig="15489" w:dyaOrig="7671">
          <v:shape id="_x0000_i1040" type="#_x0000_t75" style="width:6in;height:258.55pt" o:bordertopcolor="this">
            <v:imagedata r:id="rId89" o:title=""/>
            <w10:bordertop type="single" width="4"/>
          </v:shape>
        </w:object>
      </w:r>
      <w:r>
        <w:rPr>
          <w:noProof/>
        </w:rPr>
        <w:fldChar w:fldCharType="end"/>
      </w:r>
    </w:p>
    <w:p w:rsidR="000E79A9" w:rsidRPr="001D13E6" w:rsidRDefault="000E79A9" w:rsidP="000E79A9">
      <w:pPr>
        <w:widowControl/>
        <w:overflowPunct/>
        <w:spacing w:before="0" w:after="160"/>
        <w:ind w:left="1814"/>
        <w:jc w:val="both"/>
        <w:rPr>
          <w:rFonts w:ascii="Arial" w:hAnsi="Arial" w:cs="Arial"/>
          <w:kern w:val="0"/>
        </w:rPr>
      </w:pPr>
      <w:r w:rsidRPr="001D13E6">
        <w:rPr>
          <w:rFonts w:ascii="Arial" w:hAnsi="Arial" w:cs="Arial"/>
          <w:kern w:val="0"/>
        </w:rPr>
        <w:lastRenderedPageBreak/>
        <w:t xml:space="preserve">La revisione media assoluta (RMA) fornisce una misura dell’ampiezza delle revisioni effettuate nell’arco di un determinato periodo. Nello specifico, la RMA è calcolata come media aritmetica semplice delle differenze, considerate in valore assoluto, tra le variazioni tendenziali delle stime provvisorie e quelle delle stime definitive, con riferimento agli ultimi tredici mesi. Nella Figura 1 sono riportati i valori della RMA per l’indice generale e i principali aggregati speciali IPCA nel periodo </w:t>
      </w:r>
      <w:r>
        <w:rPr>
          <w:rFonts w:ascii="Arial" w:hAnsi="Arial" w:cs="Arial"/>
          <w:kern w:val="0"/>
        </w:rPr>
        <w:t>maggio</w:t>
      </w:r>
      <w:r w:rsidRPr="001D13E6">
        <w:rPr>
          <w:rFonts w:ascii="Arial" w:hAnsi="Arial" w:cs="Arial"/>
          <w:kern w:val="0"/>
        </w:rPr>
        <w:t xml:space="preserve"> 201</w:t>
      </w:r>
      <w:r>
        <w:rPr>
          <w:rFonts w:ascii="Arial" w:hAnsi="Arial" w:cs="Arial"/>
          <w:kern w:val="0"/>
        </w:rPr>
        <w:t xml:space="preserve">5 </w:t>
      </w:r>
      <w:r w:rsidRPr="001D13E6">
        <w:rPr>
          <w:rFonts w:ascii="Arial" w:hAnsi="Arial" w:cs="Arial"/>
          <w:kern w:val="0"/>
        </w:rPr>
        <w:t>-</w:t>
      </w:r>
      <w:r>
        <w:rPr>
          <w:rFonts w:ascii="Arial" w:hAnsi="Arial" w:cs="Arial"/>
          <w:kern w:val="0"/>
        </w:rPr>
        <w:t xml:space="preserve"> maggio</w:t>
      </w:r>
      <w:r w:rsidRPr="001D13E6">
        <w:rPr>
          <w:rFonts w:ascii="Arial" w:hAnsi="Arial" w:cs="Arial"/>
          <w:kern w:val="0"/>
        </w:rPr>
        <w:t xml:space="preserve"> 201</w:t>
      </w:r>
      <w:r>
        <w:rPr>
          <w:rFonts w:ascii="Arial" w:hAnsi="Arial" w:cs="Arial"/>
          <w:kern w:val="0"/>
        </w:rPr>
        <w:t>6</w:t>
      </w:r>
      <w:r w:rsidRPr="001D13E6">
        <w:rPr>
          <w:rFonts w:ascii="Arial" w:hAnsi="Arial" w:cs="Arial"/>
          <w:kern w:val="0"/>
        </w:rPr>
        <w:t xml:space="preserve">. </w:t>
      </w:r>
      <w:r w:rsidRPr="00722E20">
        <w:rPr>
          <w:rFonts w:ascii="Arial" w:hAnsi="Arial" w:cs="Arial"/>
          <w:kern w:val="0"/>
        </w:rPr>
        <w:t>Le RMA più ampie nell’arco di tempo considerato hanno interessato i tassi di variazione tendenziale dei prezzi</w:t>
      </w:r>
      <w:r w:rsidRPr="00A71362">
        <w:rPr>
          <w:rFonts w:ascii="Arial" w:hAnsi="Arial" w:cs="Arial"/>
          <w:kern w:val="0"/>
        </w:rPr>
        <w:t xml:space="preserve"> </w:t>
      </w:r>
      <w:r w:rsidRPr="00722E20">
        <w:rPr>
          <w:rFonts w:ascii="Arial" w:hAnsi="Arial" w:cs="Arial"/>
          <w:kern w:val="0"/>
        </w:rPr>
        <w:t>dei Beni industriali non energetici (0,123 punti percentuali)</w:t>
      </w:r>
      <w:r>
        <w:rPr>
          <w:rFonts w:ascii="Arial" w:hAnsi="Arial" w:cs="Arial"/>
          <w:kern w:val="0"/>
        </w:rPr>
        <w:t xml:space="preserve"> e</w:t>
      </w:r>
      <w:r w:rsidRPr="00722E20">
        <w:rPr>
          <w:rFonts w:ascii="Arial" w:hAnsi="Arial" w:cs="Arial"/>
          <w:kern w:val="0"/>
        </w:rPr>
        <w:t xml:space="preserve"> dell’Energia (0,1</w:t>
      </w:r>
      <w:r>
        <w:rPr>
          <w:rFonts w:ascii="Arial" w:hAnsi="Arial" w:cs="Arial"/>
          <w:kern w:val="0"/>
        </w:rPr>
        <w:t>08</w:t>
      </w:r>
      <w:r w:rsidRPr="00722E20">
        <w:rPr>
          <w:rFonts w:ascii="Arial" w:hAnsi="Arial" w:cs="Arial"/>
          <w:kern w:val="0"/>
        </w:rPr>
        <w:t xml:space="preserve"> punti percentuali).</w:t>
      </w:r>
    </w:p>
    <w:p w:rsidR="000E79A9" w:rsidRDefault="000E79A9" w:rsidP="000E79A9">
      <w:pPr>
        <w:spacing w:before="0" w:after="60"/>
        <w:ind w:left="1814"/>
        <w:jc w:val="both"/>
        <w:rPr>
          <w:rFonts w:ascii="Arial Narrow" w:hAnsi="Arial Narrow" w:cs="Arial"/>
          <w:sz w:val="19"/>
          <w:szCs w:val="19"/>
        </w:rPr>
      </w:pPr>
      <w:r w:rsidRPr="001D13E6">
        <w:rPr>
          <w:rFonts w:ascii="Arial Narrow" w:hAnsi="Arial Narrow" w:cs="Arial"/>
          <w:b/>
          <w:color w:val="5F5F5F"/>
        </w:rPr>
        <w:t>FIGURA 1. REVISIONE MEDIA ASSOLUTA DELLE STIME PRELIMINARI DEI TASSI TENDENZIALI DEGLI INDICI IPCA</w:t>
      </w:r>
      <w:r w:rsidRPr="001D13E6">
        <w:rPr>
          <w:rFonts w:ascii="Arial Narrow" w:hAnsi="Arial Narrow" w:cs="Arial"/>
          <w:b/>
          <w:color w:val="5F5F5F"/>
        </w:rPr>
        <w:br/>
      </w:r>
      <w:r>
        <w:rPr>
          <w:rFonts w:ascii="Arial Narrow" w:hAnsi="Arial Narrow" w:cs="Arial"/>
          <w:sz w:val="19"/>
          <w:szCs w:val="19"/>
        </w:rPr>
        <w:t>Maggio</w:t>
      </w:r>
      <w:r w:rsidRPr="001D13E6">
        <w:rPr>
          <w:rFonts w:ascii="Arial Narrow" w:hAnsi="Arial Narrow" w:cs="Arial"/>
          <w:sz w:val="19"/>
          <w:szCs w:val="19"/>
        </w:rPr>
        <w:t xml:space="preserve"> 201</w:t>
      </w:r>
      <w:r>
        <w:rPr>
          <w:rFonts w:ascii="Arial Narrow" w:hAnsi="Arial Narrow" w:cs="Arial"/>
          <w:sz w:val="19"/>
          <w:szCs w:val="19"/>
        </w:rPr>
        <w:t>5</w:t>
      </w:r>
      <w:r w:rsidRPr="001D13E6">
        <w:rPr>
          <w:rFonts w:ascii="Arial Narrow" w:hAnsi="Arial Narrow" w:cs="Arial"/>
          <w:sz w:val="19"/>
          <w:szCs w:val="19"/>
        </w:rPr>
        <w:t>-</w:t>
      </w:r>
      <w:r>
        <w:rPr>
          <w:rFonts w:ascii="Arial Narrow" w:hAnsi="Arial Narrow" w:cs="Arial"/>
          <w:sz w:val="19"/>
          <w:szCs w:val="19"/>
        </w:rPr>
        <w:t>maggio</w:t>
      </w:r>
      <w:r w:rsidRPr="001D13E6">
        <w:rPr>
          <w:rFonts w:ascii="Arial Narrow" w:hAnsi="Arial Narrow" w:cs="Arial"/>
          <w:sz w:val="19"/>
          <w:szCs w:val="19"/>
        </w:rPr>
        <w:t xml:space="preserve"> 201</w:t>
      </w:r>
      <w:r>
        <w:rPr>
          <w:rFonts w:ascii="Arial Narrow" w:hAnsi="Arial Narrow" w:cs="Arial"/>
          <w:sz w:val="19"/>
          <w:szCs w:val="19"/>
        </w:rPr>
        <w:t>6</w:t>
      </w:r>
      <w:r w:rsidRPr="001D13E6">
        <w:rPr>
          <w:rFonts w:ascii="Arial Narrow" w:hAnsi="Arial Narrow" w:cs="Arial"/>
          <w:sz w:val="19"/>
          <w:szCs w:val="19"/>
        </w:rPr>
        <w:t xml:space="preserve">, punti percentuali </w:t>
      </w:r>
    </w:p>
    <w:p w:rsidR="000E79A9" w:rsidRPr="001D13E6" w:rsidRDefault="000E79A9" w:rsidP="000E79A9">
      <w:pPr>
        <w:spacing w:before="0" w:after="60"/>
        <w:ind w:left="1843"/>
        <w:jc w:val="both"/>
        <w:rPr>
          <w:rFonts w:ascii="Arial" w:hAnsi="Arial" w:cs="Arial"/>
          <w:b/>
          <w:color w:val="333333"/>
          <w:sz w:val="22"/>
          <w:szCs w:val="22"/>
        </w:rPr>
      </w:pPr>
      <w:r>
        <w:rPr>
          <w:noProof/>
        </w:rPr>
        <w:fldChar w:fldCharType="begin"/>
      </w:r>
      <w:r>
        <w:rPr>
          <w:noProof/>
        </w:rPr>
        <w:instrText xml:space="preserve"> LINK Excel.Sheet.8 "\\\\nas-balbo\\TICINO55\\Consumo4\\Diffusione\\comunica\\anno 2016\\accuratezza_flash\\grafici_nota_def.xls!MAD![grafici_nota_def.xls]MAD Grafico 1" "" \a \p </w:instrText>
      </w:r>
      <w:r>
        <w:rPr>
          <w:noProof/>
        </w:rPr>
        <w:fldChar w:fldCharType="separate"/>
      </w:r>
      <w:r w:rsidR="005E1C51">
        <w:rPr>
          <w:noProof/>
        </w:rPr>
        <w:object w:dxaOrig="11506" w:dyaOrig="6872">
          <v:shape id="_x0000_i1041" type="#_x0000_t75" style="width:431.35pt;height:257.95pt" o:bordertopcolor="this" o:borderbottomcolor="this">
            <v:imagedata r:id="rId90" o:title=""/>
            <w10:bordertop type="single" width="4"/>
            <w10:borderbottom type="single" width="4"/>
          </v:shape>
        </w:object>
      </w:r>
      <w:r>
        <w:rPr>
          <w:noProof/>
        </w:rPr>
        <w:fldChar w:fldCharType="end"/>
      </w:r>
    </w:p>
    <w:p w:rsidR="000E79A9" w:rsidRDefault="000E79A9" w:rsidP="000E79A9">
      <w:pPr>
        <w:spacing w:before="0" w:after="60"/>
        <w:ind w:left="1843"/>
        <w:jc w:val="both"/>
        <w:rPr>
          <w:rFonts w:ascii="Arial" w:hAnsi="Arial" w:cs="Arial"/>
        </w:rPr>
      </w:pPr>
    </w:p>
    <w:p w:rsidR="000E79A9" w:rsidRPr="001D13E6" w:rsidRDefault="000E79A9" w:rsidP="000E79A9">
      <w:pPr>
        <w:spacing w:before="0" w:after="60"/>
        <w:ind w:left="1843"/>
        <w:jc w:val="both"/>
        <w:rPr>
          <w:rFonts w:ascii="Arial" w:hAnsi="Arial" w:cs="Arial"/>
        </w:rPr>
      </w:pPr>
      <w:r w:rsidRPr="001D13E6">
        <w:rPr>
          <w:rFonts w:ascii="Arial" w:hAnsi="Arial" w:cs="Arial"/>
        </w:rPr>
        <w:t>Un ulteriore modo di valutare l’accuratezza delle stime preliminari consiste nel verificare la loro capacità di previsione della direzione dell’inflazione. Quest’ultima è correttamente prevista se sia la stima preliminare sia la stima definitiva indicano tassi di variazione tendenziali crescenti (decrescenti o stabili) rispetto a quelli del mese immediatamente precedente. Nel dettaglio, con riferimento alla capacità di previsione della direzione dell’inflazione, i possibili risultati del confronto tra stima preliminare e stima definitiva sono:</w:t>
      </w:r>
    </w:p>
    <w:p w:rsidR="000E79A9" w:rsidRPr="001D13E6" w:rsidRDefault="000E79A9" w:rsidP="000E79A9">
      <w:pPr>
        <w:numPr>
          <w:ilvl w:val="0"/>
          <w:numId w:val="47"/>
        </w:numPr>
        <w:tabs>
          <w:tab w:val="num" w:pos="2127"/>
        </w:tabs>
        <w:spacing w:after="120"/>
        <w:ind w:left="2127" w:hanging="284"/>
        <w:contextualSpacing/>
        <w:jc w:val="both"/>
        <w:rPr>
          <w:rFonts w:ascii="Arial" w:hAnsi="Arial" w:cs="Arial"/>
          <w:color w:val="FF0000"/>
        </w:rPr>
      </w:pPr>
      <w:r w:rsidRPr="001D13E6">
        <w:rPr>
          <w:rFonts w:ascii="Arial" w:hAnsi="Arial" w:cs="Arial"/>
        </w:rPr>
        <w:t>la stima provvisoria ha correttamente previsto la direzione dell’inflazione in quanto  l’accelerazione (decelerazione o stabilità) prevista è stata confermata dai dati definitivi (indicato da</w:t>
      </w:r>
      <w:r w:rsidRPr="001D13E6">
        <w:rPr>
          <w:rFonts w:ascii="Arial" w:hAnsi="Arial" w:cs="Arial"/>
          <w:color w:val="FF0000"/>
        </w:rPr>
        <w:t xml:space="preserve"> </w:t>
      </w:r>
      <w:r w:rsidRPr="001D13E6">
        <w:rPr>
          <w:rFonts w:ascii="Webdings" w:hAnsi="Webdings"/>
          <w:color w:val="92D050"/>
        </w:rPr>
        <w:t></w:t>
      </w:r>
      <w:r w:rsidRPr="001D13E6">
        <w:rPr>
          <w:rFonts w:ascii="Webdings" w:hAnsi="Webdings"/>
          <w:color w:val="92D050"/>
        </w:rPr>
        <w:t></w:t>
      </w:r>
      <w:r w:rsidRPr="001D13E6">
        <w:rPr>
          <w:rFonts w:ascii="Arial" w:hAnsi="Arial" w:cs="Arial"/>
        </w:rPr>
        <w:t>nel Prospetto 4);</w:t>
      </w:r>
    </w:p>
    <w:p w:rsidR="000E79A9" w:rsidRPr="001D13E6" w:rsidRDefault="000E79A9" w:rsidP="000E79A9">
      <w:pPr>
        <w:numPr>
          <w:ilvl w:val="0"/>
          <w:numId w:val="47"/>
        </w:numPr>
        <w:tabs>
          <w:tab w:val="num" w:pos="2127"/>
        </w:tabs>
        <w:spacing w:after="120"/>
        <w:ind w:left="2127" w:hanging="284"/>
        <w:contextualSpacing/>
        <w:jc w:val="both"/>
        <w:rPr>
          <w:rFonts w:ascii="Arial" w:hAnsi="Arial" w:cs="Arial"/>
          <w:color w:val="FF0000"/>
        </w:rPr>
      </w:pPr>
      <w:r w:rsidRPr="001D13E6">
        <w:rPr>
          <w:rFonts w:ascii="Arial" w:hAnsi="Arial" w:cs="Arial"/>
        </w:rPr>
        <w:t xml:space="preserve">la stima provvisoria ha erroneamente previsto la direzione dell’inflazione, vale a dire ha previsto un’accelerazione (una decelerazione) del tasso tendenziale mentre, sulla base della stima definitiva, si registra l’opposto (indicato da </w:t>
      </w:r>
      <w:r w:rsidRPr="001D13E6">
        <w:rPr>
          <w:rFonts w:ascii="Webdings" w:hAnsi="Webdings"/>
          <w:color w:val="FF0000"/>
        </w:rPr>
        <w:t></w:t>
      </w:r>
      <w:r w:rsidRPr="001D13E6">
        <w:rPr>
          <w:rFonts w:ascii="Arial" w:hAnsi="Arial" w:cs="Arial"/>
        </w:rPr>
        <w:t>);</w:t>
      </w:r>
    </w:p>
    <w:p w:rsidR="000E79A9" w:rsidRPr="001D13E6" w:rsidRDefault="000E79A9" w:rsidP="000E79A9">
      <w:pPr>
        <w:numPr>
          <w:ilvl w:val="0"/>
          <w:numId w:val="47"/>
        </w:numPr>
        <w:tabs>
          <w:tab w:val="num" w:pos="2127"/>
        </w:tabs>
        <w:spacing w:after="120"/>
        <w:ind w:left="2127" w:hanging="284"/>
        <w:contextualSpacing/>
        <w:jc w:val="both"/>
        <w:rPr>
          <w:rFonts w:ascii="Arial" w:hAnsi="Arial" w:cs="Arial"/>
          <w:color w:val="FF0000"/>
        </w:rPr>
      </w:pPr>
      <w:r w:rsidRPr="001D13E6">
        <w:rPr>
          <w:rFonts w:ascii="Arial" w:hAnsi="Arial" w:cs="Arial"/>
        </w:rPr>
        <w:t xml:space="preserve">la stima provvisoria ha previsto un’accelerazione o una decelerazione dell’inflazione che, invece, sulla base della stima definitiva, è rimasta stabile; oppure ha previsto un tasso tendenziale stazionario mentre secondo i dati definitivi, si è registrata un’accelerazione o una decelerazione (indicato da </w:t>
      </w:r>
      <w:r w:rsidRPr="001D13E6">
        <w:rPr>
          <w:rFonts w:ascii="Webdings" w:hAnsi="Webdings"/>
          <w:color w:val="FFC000"/>
        </w:rPr>
        <w:t></w:t>
      </w:r>
      <w:r w:rsidRPr="001D13E6">
        <w:rPr>
          <w:rFonts w:ascii="Arial" w:hAnsi="Arial" w:cs="Arial"/>
        </w:rPr>
        <w:t>).</w:t>
      </w:r>
    </w:p>
    <w:p w:rsidR="000E79A9" w:rsidRPr="001D13E6" w:rsidRDefault="000E79A9" w:rsidP="000E79A9">
      <w:pPr>
        <w:tabs>
          <w:tab w:val="left" w:pos="5700"/>
        </w:tabs>
        <w:spacing w:before="240" w:after="240"/>
        <w:ind w:left="1843"/>
        <w:jc w:val="both"/>
        <w:rPr>
          <w:rFonts w:ascii="Arial" w:hAnsi="Arial" w:cs="Arial"/>
        </w:rPr>
      </w:pPr>
      <w:r w:rsidRPr="00722E20">
        <w:rPr>
          <w:rFonts w:ascii="Arial" w:hAnsi="Arial" w:cs="Arial"/>
        </w:rPr>
        <w:t xml:space="preserve">Nel periodo </w:t>
      </w:r>
      <w:r>
        <w:rPr>
          <w:rFonts w:ascii="Arial" w:hAnsi="Arial" w:cs="Arial"/>
        </w:rPr>
        <w:t>maggio</w:t>
      </w:r>
      <w:r w:rsidRPr="00722E20">
        <w:rPr>
          <w:rFonts w:ascii="Arial" w:hAnsi="Arial" w:cs="Arial"/>
        </w:rPr>
        <w:t xml:space="preserve"> 2015 – </w:t>
      </w:r>
      <w:r>
        <w:rPr>
          <w:rFonts w:ascii="Arial" w:hAnsi="Arial" w:cs="Arial"/>
        </w:rPr>
        <w:t>maggio</w:t>
      </w:r>
      <w:r w:rsidRPr="00722E20">
        <w:rPr>
          <w:rFonts w:ascii="Arial" w:hAnsi="Arial" w:cs="Arial"/>
        </w:rPr>
        <w:t xml:space="preserve"> 2016, le stime provvisorie hanno correttamente previsto la direzione dell’inflazione in 121 casi su 130 stime.</w:t>
      </w:r>
    </w:p>
    <w:p w:rsidR="000E79A9" w:rsidRPr="001D13E6" w:rsidRDefault="000E79A9" w:rsidP="000E79A9">
      <w:pPr>
        <w:widowControl/>
        <w:overflowPunct/>
        <w:autoSpaceDE/>
        <w:autoSpaceDN/>
        <w:adjustRightInd/>
        <w:spacing w:before="0" w:after="0"/>
        <w:rPr>
          <w:rFonts w:ascii="Arial Narrow" w:hAnsi="Arial Narrow" w:cs="Arial"/>
          <w:b/>
          <w:color w:val="5F5F5F"/>
        </w:rPr>
      </w:pPr>
      <w:r w:rsidRPr="001D13E6">
        <w:rPr>
          <w:rFonts w:ascii="Arial Narrow" w:hAnsi="Arial Narrow" w:cs="Arial"/>
          <w:b/>
          <w:color w:val="5F5F5F"/>
        </w:rPr>
        <w:br w:type="page"/>
      </w:r>
    </w:p>
    <w:p w:rsidR="000E79A9" w:rsidRPr="001D13E6" w:rsidRDefault="000E79A9" w:rsidP="000E79A9">
      <w:pPr>
        <w:spacing w:before="0" w:after="0"/>
        <w:ind w:left="1843"/>
        <w:jc w:val="both"/>
        <w:rPr>
          <w:rFonts w:ascii="Arial Narrow" w:hAnsi="Arial Narrow" w:cs="Arial"/>
          <w:sz w:val="19"/>
          <w:szCs w:val="19"/>
        </w:rPr>
      </w:pPr>
      <w:r w:rsidRPr="001D13E6">
        <w:rPr>
          <w:rFonts w:ascii="Arial Narrow" w:hAnsi="Arial Narrow" w:cs="Arial"/>
          <w:b/>
          <w:color w:val="5F5F5F"/>
        </w:rPr>
        <w:lastRenderedPageBreak/>
        <w:t xml:space="preserve">PROSPETTO 4. CAPACITA’ DI PREVISIONE DELLE STIME PRELIMINARI DELLA DIREZIONE DELL’INFLAZIONE MISURATA DAGLI INDICI IPCA </w:t>
      </w:r>
      <w:r w:rsidRPr="001D13E6">
        <w:rPr>
          <w:rFonts w:ascii="Arial Narrow" w:hAnsi="Arial Narrow" w:cs="Arial"/>
          <w:b/>
          <w:color w:val="5F5F5F"/>
        </w:rPr>
        <w:br/>
      </w:r>
      <w:r>
        <w:rPr>
          <w:rFonts w:ascii="Arial Narrow" w:hAnsi="Arial Narrow" w:cs="Arial"/>
          <w:sz w:val="19"/>
          <w:szCs w:val="19"/>
        </w:rPr>
        <w:t>Maggio</w:t>
      </w:r>
      <w:r w:rsidRPr="001D13E6">
        <w:rPr>
          <w:rFonts w:ascii="Arial Narrow" w:hAnsi="Arial Narrow" w:cs="Arial"/>
          <w:sz w:val="19"/>
          <w:szCs w:val="19"/>
        </w:rPr>
        <w:t xml:space="preserve"> 201</w:t>
      </w:r>
      <w:r>
        <w:rPr>
          <w:rFonts w:ascii="Arial Narrow" w:hAnsi="Arial Narrow" w:cs="Arial"/>
          <w:sz w:val="19"/>
          <w:szCs w:val="19"/>
        </w:rPr>
        <w:t>5</w:t>
      </w:r>
      <w:r w:rsidRPr="001D13E6">
        <w:rPr>
          <w:rFonts w:ascii="Arial Narrow" w:hAnsi="Arial Narrow" w:cs="Arial"/>
          <w:sz w:val="19"/>
          <w:szCs w:val="19"/>
        </w:rPr>
        <w:t>-</w:t>
      </w:r>
      <w:r>
        <w:rPr>
          <w:rFonts w:ascii="Arial Narrow" w:hAnsi="Arial Narrow" w:cs="Arial"/>
          <w:sz w:val="19"/>
          <w:szCs w:val="19"/>
        </w:rPr>
        <w:t>maggio</w:t>
      </w:r>
      <w:r w:rsidRPr="001D13E6">
        <w:rPr>
          <w:rFonts w:ascii="Arial Narrow" w:hAnsi="Arial Narrow" w:cs="Arial"/>
          <w:sz w:val="19"/>
          <w:szCs w:val="19"/>
        </w:rPr>
        <w:t xml:space="preserve"> 201</w:t>
      </w:r>
      <w:r>
        <w:rPr>
          <w:rFonts w:ascii="Arial Narrow" w:hAnsi="Arial Narrow" w:cs="Arial"/>
          <w:sz w:val="19"/>
          <w:szCs w:val="19"/>
        </w:rPr>
        <w:t>6</w:t>
      </w:r>
      <w:r w:rsidRPr="001D13E6">
        <w:rPr>
          <w:rFonts w:ascii="Arial Narrow" w:hAnsi="Arial Narrow" w:cs="Arial"/>
          <w:sz w:val="19"/>
          <w:szCs w:val="19"/>
        </w:rPr>
        <w:t xml:space="preserve"> </w:t>
      </w:r>
    </w:p>
    <w:p w:rsidR="000E79A9" w:rsidRPr="001D13E6" w:rsidRDefault="000E79A9" w:rsidP="000E79A9">
      <w:pPr>
        <w:spacing w:before="60" w:after="60"/>
        <w:ind w:left="1276"/>
        <w:jc w:val="both"/>
        <w:rPr>
          <w:rFonts w:ascii="Arial" w:hAnsi="Arial" w:cs="Arial"/>
          <w:b/>
          <w:color w:val="333333"/>
          <w:sz w:val="2"/>
          <w:szCs w:val="2"/>
        </w:rPr>
      </w:pPr>
    </w:p>
    <w:p w:rsidR="000E79A9" w:rsidRDefault="000E79A9" w:rsidP="000E79A9">
      <w:pPr>
        <w:spacing w:before="0" w:after="60"/>
        <w:ind w:left="1843"/>
        <w:jc w:val="both"/>
        <w:rPr>
          <w:rFonts w:ascii="Arial" w:hAnsi="Arial" w:cs="Arial"/>
          <w:b/>
          <w:color w:val="333333"/>
          <w:sz w:val="22"/>
          <w:szCs w:val="22"/>
        </w:rPr>
      </w:pPr>
      <w:r>
        <w:rPr>
          <w:noProof/>
        </w:rPr>
        <w:fldChar w:fldCharType="begin"/>
      </w:r>
      <w:r>
        <w:rPr>
          <w:noProof/>
        </w:rPr>
        <w:instrText xml:space="preserve"> LINK Excel.Sheet.8 "\\\\nas-balbo\\TICINO55\\Consumo4\\Diffusione\\comunica\\anno 2016\\accuratezza_flash\\grafici_nota_def.xls!direzione!R2C1:R12C20" "" \a \p </w:instrText>
      </w:r>
      <w:r>
        <w:rPr>
          <w:noProof/>
        </w:rPr>
        <w:fldChar w:fldCharType="separate"/>
      </w:r>
      <w:r w:rsidR="005E1C51">
        <w:rPr>
          <w:noProof/>
        </w:rPr>
        <w:object w:dxaOrig="13968" w:dyaOrig="6033">
          <v:shape id="_x0000_i1042" type="#_x0000_t75" style="width:435.15pt;height:232.9pt" o:bordertopcolor="this">
            <v:imagedata r:id="rId91" o:title=""/>
            <w10:bordertop type="single" width="4"/>
          </v:shape>
        </w:object>
      </w:r>
      <w:r>
        <w:rPr>
          <w:noProof/>
        </w:rPr>
        <w:fldChar w:fldCharType="end"/>
      </w:r>
    </w:p>
    <w:p w:rsidR="000E79A9" w:rsidRPr="001D13E6" w:rsidRDefault="000E79A9" w:rsidP="000E79A9">
      <w:pPr>
        <w:spacing w:before="120" w:after="120"/>
        <w:ind w:left="1814"/>
        <w:jc w:val="both"/>
        <w:rPr>
          <w:rFonts w:ascii="Arial" w:hAnsi="Arial" w:cs="Arial"/>
          <w:b/>
          <w:color w:val="333333"/>
          <w:sz w:val="22"/>
          <w:szCs w:val="22"/>
        </w:rPr>
      </w:pPr>
      <w:r w:rsidRPr="001D13E6">
        <w:rPr>
          <w:rFonts w:ascii="Arial" w:hAnsi="Arial" w:cs="Arial"/>
          <w:b/>
          <w:color w:val="333333"/>
          <w:sz w:val="22"/>
          <w:szCs w:val="22"/>
        </w:rPr>
        <w:t>Metodologia di calcolo delle stime preliminari</w:t>
      </w:r>
    </w:p>
    <w:p w:rsidR="000E79A9" w:rsidRPr="001D13E6" w:rsidRDefault="000E79A9" w:rsidP="000E79A9">
      <w:pPr>
        <w:widowControl/>
        <w:overflowPunct/>
        <w:autoSpaceDE/>
        <w:autoSpaceDN/>
        <w:adjustRightInd/>
        <w:spacing w:before="0" w:after="120"/>
        <w:ind w:left="1843"/>
        <w:jc w:val="both"/>
        <w:rPr>
          <w:rFonts w:ascii="Arial" w:hAnsi="Arial" w:cs="Arial"/>
          <w:kern w:val="0"/>
        </w:rPr>
      </w:pPr>
      <w:r w:rsidRPr="001D13E6">
        <w:rPr>
          <w:rFonts w:ascii="Arial" w:hAnsi="Arial" w:cs="Arial"/>
          <w:kern w:val="0"/>
        </w:rPr>
        <w:t xml:space="preserve">Per il calcolo della stima preliminare dell’indice IPCA (e NIC), ogni mese, </w:t>
      </w:r>
    </w:p>
    <w:p w:rsidR="000E79A9" w:rsidRPr="001D13E6" w:rsidRDefault="000E79A9" w:rsidP="000E79A9">
      <w:pPr>
        <w:widowControl/>
        <w:numPr>
          <w:ilvl w:val="0"/>
          <w:numId w:val="42"/>
        </w:numPr>
        <w:overflowPunct/>
        <w:autoSpaceDE/>
        <w:autoSpaceDN/>
        <w:adjustRightInd/>
        <w:spacing w:before="0" w:after="0"/>
        <w:ind w:left="2127" w:hanging="284"/>
        <w:contextualSpacing/>
        <w:jc w:val="both"/>
        <w:rPr>
          <w:rFonts w:ascii="Arial" w:hAnsi="Arial" w:cs="Arial"/>
          <w:kern w:val="0"/>
        </w:rPr>
      </w:pPr>
      <w:r w:rsidRPr="001D13E6">
        <w:rPr>
          <w:rFonts w:ascii="Arial" w:hAnsi="Arial" w:cs="Arial"/>
          <w:kern w:val="0"/>
        </w:rPr>
        <w:t xml:space="preserve">vengono utilizzati i prezzi rilevati a livello locale da circa 60 comuni capoluoghi di provincia (degli 80 </w:t>
      </w:r>
      <w:r w:rsidRPr="001D13E6">
        <w:rPr>
          <w:rFonts w:ascii="Arial" w:hAnsi="Arial" w:cs="Arial"/>
          <w:szCs w:val="21"/>
        </w:rPr>
        <w:t>che concorrono al calcolo degli indici per tutte gli aggregati di prodotto inclusi nel paniere</w:t>
      </w:r>
      <w:r w:rsidRPr="001D13E6">
        <w:rPr>
          <w:rFonts w:ascii="Arial" w:hAnsi="Arial" w:cs="Arial"/>
          <w:kern w:val="0"/>
        </w:rPr>
        <w:t>). Tra questi, ci sono i 38 comuni che, una volta acquisite le informazioni sui prezzi rilevati centralmente dall’Istat, provvedono all’elaborazione della stima locale degli indici dei prezzi al consumo e alla loro pubblicazione simultaneamente al rilascio delle stime preliminari nazionali da parte dell’Istat. I dati raccolti dagli altri 1</w:t>
      </w:r>
      <w:r>
        <w:rPr>
          <w:rFonts w:ascii="Arial" w:hAnsi="Arial" w:cs="Arial"/>
          <w:kern w:val="0"/>
        </w:rPr>
        <w:t>6</w:t>
      </w:r>
      <w:r w:rsidRPr="001D13E6">
        <w:rPr>
          <w:rFonts w:ascii="Arial" w:hAnsi="Arial" w:cs="Arial"/>
          <w:kern w:val="0"/>
        </w:rPr>
        <w:t xml:space="preserve"> comuni che partecipano alla rilevazione per un sottoinsieme di prodotti (tariffe locali e alcuni servizi locali) non vengono utilizzati nel calcolo della stima preliminare ma contribuiscono al calcolo della stima definitiva degli indici;</w:t>
      </w:r>
    </w:p>
    <w:p w:rsidR="000E79A9" w:rsidRDefault="000E79A9" w:rsidP="000E79A9">
      <w:pPr>
        <w:widowControl/>
        <w:numPr>
          <w:ilvl w:val="0"/>
          <w:numId w:val="42"/>
        </w:numPr>
        <w:overflowPunct/>
        <w:autoSpaceDE/>
        <w:autoSpaceDN/>
        <w:adjustRightInd/>
        <w:spacing w:before="0" w:after="0"/>
        <w:ind w:left="2127" w:hanging="284"/>
        <w:contextualSpacing/>
        <w:jc w:val="both"/>
        <w:rPr>
          <w:rFonts w:ascii="Arial" w:hAnsi="Arial" w:cs="Arial"/>
          <w:kern w:val="0"/>
        </w:rPr>
      </w:pPr>
      <w:r w:rsidRPr="0038758C">
        <w:rPr>
          <w:rFonts w:ascii="Arial" w:hAnsi="Arial" w:cs="Arial"/>
          <w:kern w:val="0"/>
        </w:rPr>
        <w:t xml:space="preserve">vengono utilizzati tutti i prezzi rilevati direttamente dall'Istat, via Internet e altre fonti. </w:t>
      </w:r>
    </w:p>
    <w:p w:rsidR="000E79A9" w:rsidRDefault="000E79A9" w:rsidP="000E79A9">
      <w:pPr>
        <w:widowControl/>
        <w:overflowPunct/>
        <w:autoSpaceDE/>
        <w:autoSpaceDN/>
        <w:adjustRightInd/>
        <w:spacing w:before="0" w:after="0"/>
        <w:ind w:left="1843"/>
        <w:contextualSpacing/>
        <w:jc w:val="both"/>
        <w:rPr>
          <w:rFonts w:ascii="Arial" w:hAnsi="Arial" w:cs="Arial"/>
          <w:kern w:val="0"/>
        </w:rPr>
      </w:pPr>
    </w:p>
    <w:p w:rsidR="000E79A9" w:rsidRPr="0038758C" w:rsidRDefault="000E79A9" w:rsidP="000E79A9">
      <w:pPr>
        <w:widowControl/>
        <w:overflowPunct/>
        <w:autoSpaceDE/>
        <w:autoSpaceDN/>
        <w:adjustRightInd/>
        <w:spacing w:before="0" w:after="0"/>
        <w:ind w:left="1843"/>
        <w:contextualSpacing/>
        <w:jc w:val="both"/>
        <w:rPr>
          <w:rFonts w:ascii="Arial" w:hAnsi="Arial" w:cs="Arial"/>
          <w:kern w:val="0"/>
        </w:rPr>
      </w:pPr>
      <w:r w:rsidRPr="0038758C">
        <w:rPr>
          <w:rFonts w:ascii="Arial" w:hAnsi="Arial" w:cs="Arial"/>
          <w:kern w:val="0"/>
        </w:rPr>
        <w:t>Una volta calcolati gli indici degli aggregati di prodotto per i quali i prezzi vengono rilevati direttamente dall'Istat, si procede all’elaborazione degli indici di aggregato di prodotto per tutti i comuni capoluoghi di provincia che partecipano alla stima provvisoria. Per i rimanenti comuni, che non partecipano alla stima preliminare, gli indici di aggregato di prodotto sono generalmente</w:t>
      </w:r>
      <w:r w:rsidRPr="001D13E6">
        <w:rPr>
          <w:rFonts w:ascii="Arial" w:hAnsi="Arial"/>
          <w:kern w:val="0"/>
          <w:vertAlign w:val="superscript"/>
        </w:rPr>
        <w:footnoteReference w:id="8"/>
      </w:r>
      <w:r w:rsidRPr="0038758C">
        <w:rPr>
          <w:rFonts w:ascii="Arial" w:hAnsi="Arial" w:cs="Arial"/>
          <w:kern w:val="0"/>
        </w:rPr>
        <w:t xml:space="preserve"> calcolati applicando agli indici del mese precedente il tasso di variazione mensile dei corrispondenti indici regionali elaborati, come segue, utilizzando i dati dei comuni che partecipano alla stima provvisoria:</w:t>
      </w:r>
    </w:p>
    <w:p w:rsidR="000E79A9" w:rsidRPr="001D13E6" w:rsidRDefault="000E79A9" w:rsidP="000E79A9">
      <w:pPr>
        <w:widowControl/>
        <w:overflowPunct/>
        <w:autoSpaceDE/>
        <w:autoSpaceDN/>
        <w:adjustRightInd/>
        <w:spacing w:before="0" w:after="0"/>
        <w:ind w:left="1843"/>
        <w:jc w:val="center"/>
        <w:rPr>
          <w:rFonts w:ascii="Arial" w:hAnsi="Arial" w:cs="Arial"/>
          <w:color w:val="FF0000"/>
          <w:kern w:val="0"/>
        </w:rPr>
      </w:pPr>
      <w:r w:rsidRPr="001D13E6">
        <w:rPr>
          <w:rFonts w:ascii="Arial" w:hAnsi="Arial" w:cs="Arial"/>
          <w:color w:val="FF0000"/>
          <w:kern w:val="0"/>
        </w:rPr>
        <w:br/>
        <w:t> </w:t>
      </w:r>
      <w:r w:rsidRPr="001D13E6">
        <w:rPr>
          <w:rFonts w:ascii="Arial" w:hAnsi="Arial" w:cs="Arial"/>
          <w:noProof/>
          <w:color w:val="FF0000"/>
          <w:kern w:val="0"/>
        </w:rPr>
        <w:drawing>
          <wp:inline distT="0" distB="0" distL="0" distR="0" wp14:anchorId="251E22B6" wp14:editId="10266534">
            <wp:extent cx="1695450" cy="80010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p w:rsidR="000E79A9" w:rsidRPr="001D13E6" w:rsidRDefault="000E79A9" w:rsidP="000E79A9">
      <w:pPr>
        <w:widowControl/>
        <w:overflowPunct/>
        <w:autoSpaceDE/>
        <w:autoSpaceDN/>
        <w:adjustRightInd/>
        <w:spacing w:before="0" w:after="0"/>
        <w:ind w:left="1843"/>
        <w:jc w:val="both"/>
        <w:rPr>
          <w:rFonts w:ascii="Arial" w:hAnsi="Arial" w:cs="Arial"/>
          <w:kern w:val="0"/>
        </w:rPr>
      </w:pPr>
      <w:r>
        <w:rPr>
          <w:rFonts w:ascii="Arial" w:hAnsi="Arial" w:cs="Arial"/>
          <w:kern w:val="0"/>
        </w:rPr>
        <w:lastRenderedPageBreak/>
        <w:t>d</w:t>
      </w:r>
      <w:r w:rsidRPr="001D13E6">
        <w:rPr>
          <w:rFonts w:ascii="Arial" w:hAnsi="Arial" w:cs="Arial"/>
          <w:kern w:val="0"/>
        </w:rPr>
        <w:t>ove</w:t>
      </w:r>
      <w:r w:rsidRPr="001D13E6">
        <w:rPr>
          <w:rFonts w:ascii="Arial" w:hAnsi="Arial" w:cs="Arial"/>
          <w:kern w:val="0"/>
          <w:position w:val="-14"/>
          <w:lang w:val="en-GB"/>
        </w:rPr>
        <w:object w:dxaOrig="620" w:dyaOrig="460">
          <v:shape id="_x0000_i1043" type="#_x0000_t75" style="width:30.7pt;height:23.8pt" o:ole="">
            <v:imagedata r:id="rId93" o:title=""/>
          </v:shape>
          <o:OLEObject Type="Embed" ProgID="Equation.3" ShapeID="_x0000_i1043" DrawAspect="Content" ObjectID="_1528789138" r:id="rId94"/>
        </w:object>
      </w:r>
      <w:r w:rsidRPr="001D13E6">
        <w:rPr>
          <w:rFonts w:ascii="Arial" w:hAnsi="Arial" w:cs="Arial"/>
          <w:kern w:val="0"/>
        </w:rPr>
        <w:t xml:space="preserve"> è l'indice elementare dell’aggregato di prodotto </w:t>
      </w:r>
      <w:r w:rsidRPr="001D13E6">
        <w:rPr>
          <w:rFonts w:ascii="Arial" w:hAnsi="Arial" w:cs="Arial"/>
          <w:i/>
          <w:kern w:val="0"/>
        </w:rPr>
        <w:t>h</w:t>
      </w:r>
      <w:r w:rsidRPr="001D13E6">
        <w:rPr>
          <w:rFonts w:ascii="Arial" w:hAnsi="Arial" w:cs="Arial"/>
          <w:kern w:val="0"/>
        </w:rPr>
        <w:t xml:space="preserve">, per il comune capoluogo di provincia </w:t>
      </w:r>
      <w:r w:rsidRPr="001D13E6">
        <w:rPr>
          <w:rFonts w:ascii="Arial" w:hAnsi="Arial" w:cs="Arial"/>
          <w:i/>
          <w:kern w:val="0"/>
        </w:rPr>
        <w:t xml:space="preserve">i, </w:t>
      </w:r>
      <w:r w:rsidRPr="001D13E6">
        <w:rPr>
          <w:rFonts w:ascii="Arial" w:hAnsi="Arial" w:cs="Arial"/>
          <w:kern w:val="0"/>
        </w:rPr>
        <w:t xml:space="preserve">relativo al mese </w:t>
      </w:r>
      <w:r w:rsidRPr="001D13E6">
        <w:rPr>
          <w:rFonts w:ascii="Arial" w:hAnsi="Arial" w:cs="Arial"/>
          <w:i/>
          <w:kern w:val="0"/>
        </w:rPr>
        <w:t>m</w:t>
      </w:r>
      <w:r w:rsidRPr="001D13E6">
        <w:rPr>
          <w:rFonts w:ascii="Arial" w:hAnsi="Arial" w:cs="Arial"/>
          <w:kern w:val="0"/>
        </w:rPr>
        <w:t xml:space="preserve"> dell’anno </w:t>
      </w:r>
      <w:r w:rsidRPr="001D13E6">
        <w:rPr>
          <w:rFonts w:ascii="Arial" w:hAnsi="Arial" w:cs="Arial"/>
          <w:i/>
          <w:kern w:val="0"/>
        </w:rPr>
        <w:t>a</w:t>
      </w:r>
      <w:r w:rsidRPr="001D13E6">
        <w:rPr>
          <w:rFonts w:ascii="Arial" w:hAnsi="Arial" w:cs="Arial"/>
          <w:kern w:val="0"/>
        </w:rPr>
        <w:t xml:space="preserve"> e dove</w:t>
      </w:r>
      <w:r w:rsidRPr="001D13E6">
        <w:rPr>
          <w:rFonts w:ascii="Arial" w:hAnsi="Arial" w:cs="Arial"/>
          <w:kern w:val="0"/>
          <w:position w:val="-48"/>
          <w:lang w:val="en-GB"/>
        </w:rPr>
        <w:object w:dxaOrig="680" w:dyaOrig="880">
          <v:shape id="_x0000_i1044" type="#_x0000_t75" style="width:33.8pt;height:44.45pt" o:ole="">
            <v:imagedata r:id="rId95" o:title=""/>
          </v:shape>
          <o:OLEObject Type="Embed" ProgID="Equation.3" ShapeID="_x0000_i1044" DrawAspect="Content" ObjectID="_1528789139" r:id="rId96"/>
        </w:object>
      </w:r>
      <w:r w:rsidRPr="001D13E6">
        <w:rPr>
          <w:rFonts w:ascii="Arial" w:hAnsi="Arial" w:cs="Arial"/>
          <w:kern w:val="0"/>
        </w:rPr>
        <w:t xml:space="preserve">rappresenta la quota di popolazione residente nella provincia del capoluogo </w:t>
      </w:r>
      <w:r w:rsidRPr="001D13E6">
        <w:rPr>
          <w:rFonts w:ascii="Arial" w:hAnsi="Arial" w:cs="Arial"/>
          <w:i/>
          <w:kern w:val="0"/>
        </w:rPr>
        <w:t>i</w:t>
      </w:r>
      <w:r w:rsidRPr="001D13E6">
        <w:rPr>
          <w:rFonts w:ascii="Arial" w:hAnsi="Arial" w:cs="Arial"/>
          <w:kern w:val="0"/>
        </w:rPr>
        <w:t xml:space="preserve"> nella regione </w:t>
      </w:r>
      <w:r w:rsidRPr="001D13E6">
        <w:rPr>
          <w:rFonts w:ascii="Arial" w:hAnsi="Arial" w:cs="Arial"/>
          <w:i/>
          <w:kern w:val="0"/>
        </w:rPr>
        <w:t>R</w:t>
      </w:r>
      <w:r w:rsidRPr="001D13E6">
        <w:rPr>
          <w:rFonts w:ascii="Arial" w:hAnsi="Arial" w:cs="Arial"/>
          <w:kern w:val="0"/>
        </w:rPr>
        <w:t xml:space="preserve"> rispetto alla popolazione residente nella stessa regione.</w:t>
      </w:r>
      <w:r w:rsidRPr="001D13E6">
        <w:rPr>
          <w:rFonts w:ascii="Arial" w:hAnsi="Arial" w:cs="Arial"/>
          <w:kern w:val="0"/>
        </w:rPr>
        <w:br/>
        <w:t>Calcolati gli indici di aggregato di prodotto per tutti i comuni, si procede all’elaborazione degli indici regionali e, quindi, di quelli nazionali (per aggregato di prodotto e aggregazioni superiori).</w:t>
      </w:r>
      <w:r w:rsidRPr="001D13E6">
        <w:rPr>
          <w:rFonts w:ascii="Arial" w:hAnsi="Arial" w:cs="Arial"/>
          <w:color w:val="FF0000"/>
          <w:kern w:val="0"/>
        </w:rPr>
        <w:br/>
      </w:r>
      <w:r w:rsidRPr="001D13E6">
        <w:rPr>
          <w:rFonts w:ascii="Arial" w:hAnsi="Arial" w:cs="Arial"/>
          <w:kern w:val="0"/>
        </w:rPr>
        <w:t>Nel caso in cui per una regione, tutti i comuni non concorrono alla stima provvisoria, gli indici di aggregato di prodotto di questa regione vengono calcolati applicando agli indici del mese precedente, il tasso variazione mensile dei corrispondenti indici nazionali. Questi ultimi sono calcolati, come segue, utilizzando gli indici delle regioni che partecipano alla stima provvisoria:</w:t>
      </w:r>
    </w:p>
    <w:p w:rsidR="000E79A9" w:rsidRPr="001D13E6" w:rsidRDefault="000E79A9" w:rsidP="000E79A9">
      <w:pPr>
        <w:widowControl/>
        <w:overflowPunct/>
        <w:autoSpaceDE/>
        <w:autoSpaceDN/>
        <w:adjustRightInd/>
        <w:spacing w:before="0" w:after="0"/>
        <w:ind w:left="1843"/>
        <w:jc w:val="both"/>
        <w:rPr>
          <w:rFonts w:ascii="Arial" w:hAnsi="Arial" w:cs="Arial"/>
          <w:kern w:val="0"/>
        </w:rPr>
      </w:pPr>
    </w:p>
    <w:p w:rsidR="000E79A9" w:rsidRPr="001D13E6" w:rsidRDefault="000E79A9" w:rsidP="000E79A9">
      <w:pPr>
        <w:widowControl/>
        <w:overflowPunct/>
        <w:autoSpaceDE/>
        <w:autoSpaceDN/>
        <w:adjustRightInd/>
        <w:spacing w:before="0" w:after="0"/>
        <w:ind w:left="1843"/>
        <w:jc w:val="center"/>
        <w:rPr>
          <w:rFonts w:ascii="Arial" w:hAnsi="Arial" w:cs="Arial"/>
          <w:kern w:val="0"/>
        </w:rPr>
      </w:pPr>
      <w:r w:rsidRPr="001D13E6">
        <w:rPr>
          <w:rFonts w:ascii="Arial" w:hAnsi="Arial" w:cs="Arial"/>
          <w:b/>
          <w:noProof/>
          <w:kern w:val="0"/>
        </w:rPr>
        <w:drawing>
          <wp:inline distT="0" distB="0" distL="0" distR="0" wp14:anchorId="72919A16" wp14:editId="56D13BCC">
            <wp:extent cx="1714500" cy="1000125"/>
            <wp:effectExtent l="0" t="0" r="0" b="952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inline>
        </w:drawing>
      </w:r>
    </w:p>
    <w:p w:rsidR="000E79A9" w:rsidRPr="001D13E6" w:rsidRDefault="000E79A9" w:rsidP="000E79A9">
      <w:pPr>
        <w:widowControl/>
        <w:overflowPunct/>
        <w:autoSpaceDE/>
        <w:autoSpaceDN/>
        <w:adjustRightInd/>
        <w:spacing w:before="0" w:after="120"/>
        <w:ind w:left="1843"/>
        <w:jc w:val="both"/>
        <w:rPr>
          <w:rFonts w:ascii="Arial" w:hAnsi="Arial" w:cs="Arial"/>
          <w:kern w:val="0"/>
        </w:rPr>
      </w:pPr>
      <w:r w:rsidRPr="001D13E6">
        <w:rPr>
          <w:rFonts w:ascii="Arial" w:hAnsi="Arial" w:cs="Arial"/>
          <w:kern w:val="0"/>
        </w:rPr>
        <w:t xml:space="preserve"> dove </w:t>
      </w:r>
      <w:r w:rsidRPr="001D13E6">
        <w:rPr>
          <w:rFonts w:ascii="Arial" w:hAnsi="Arial" w:cs="Arial"/>
          <w:kern w:val="0"/>
          <w:position w:val="-14"/>
          <w:lang w:val="en-GB"/>
        </w:rPr>
        <w:object w:dxaOrig="700" w:dyaOrig="460">
          <v:shape id="_x0000_i1045" type="#_x0000_t75" style="width:35.05pt;height:23.8pt" o:ole="">
            <v:imagedata r:id="rId98" o:title=""/>
          </v:shape>
          <o:OLEObject Type="Embed" ProgID="Equation.3" ShapeID="_x0000_i1045" DrawAspect="Content" ObjectID="_1528789140" r:id="rId99"/>
        </w:object>
      </w:r>
      <w:r w:rsidRPr="001D13E6">
        <w:rPr>
          <w:rFonts w:ascii="Arial" w:hAnsi="Arial" w:cs="Arial"/>
          <w:kern w:val="0"/>
        </w:rPr>
        <w:t xml:space="preserve"> è l'indice elementare di aggregato di prodotto </w:t>
      </w:r>
      <w:r w:rsidRPr="001D13E6">
        <w:rPr>
          <w:rFonts w:ascii="Arial" w:hAnsi="Arial" w:cs="Arial"/>
          <w:i/>
          <w:kern w:val="0"/>
        </w:rPr>
        <w:t>h</w:t>
      </w:r>
      <w:r w:rsidRPr="001D13E6">
        <w:rPr>
          <w:rFonts w:ascii="Arial" w:hAnsi="Arial" w:cs="Arial"/>
          <w:kern w:val="0"/>
        </w:rPr>
        <w:t xml:space="preserve">, nella regione </w:t>
      </w:r>
      <w:r w:rsidRPr="001D13E6">
        <w:rPr>
          <w:rFonts w:ascii="Arial" w:hAnsi="Arial" w:cs="Arial"/>
          <w:i/>
          <w:kern w:val="0"/>
        </w:rPr>
        <w:t>R</w:t>
      </w:r>
      <w:r w:rsidRPr="001D13E6">
        <w:rPr>
          <w:rFonts w:ascii="Arial" w:hAnsi="Arial" w:cs="Arial"/>
          <w:kern w:val="0"/>
        </w:rPr>
        <w:t xml:space="preserve"> del mese di riferimento </w:t>
      </w:r>
      <w:r w:rsidRPr="001D13E6">
        <w:rPr>
          <w:rFonts w:ascii="Arial" w:hAnsi="Arial" w:cs="Arial"/>
          <w:i/>
          <w:kern w:val="0"/>
        </w:rPr>
        <w:t>m</w:t>
      </w:r>
      <w:r w:rsidRPr="001D13E6">
        <w:rPr>
          <w:rFonts w:ascii="Arial" w:hAnsi="Arial" w:cs="Arial"/>
          <w:kern w:val="0"/>
        </w:rPr>
        <w:t xml:space="preserve"> dell’anno </w:t>
      </w:r>
      <w:r w:rsidRPr="001D13E6">
        <w:rPr>
          <w:rFonts w:ascii="Arial" w:hAnsi="Arial" w:cs="Arial"/>
          <w:i/>
          <w:kern w:val="0"/>
        </w:rPr>
        <w:t>a</w:t>
      </w:r>
      <w:r w:rsidRPr="001D13E6">
        <w:rPr>
          <w:rFonts w:ascii="Arial" w:hAnsi="Arial" w:cs="Arial"/>
          <w:kern w:val="0"/>
        </w:rPr>
        <w:t xml:space="preserve"> e </w:t>
      </w:r>
      <w:r w:rsidRPr="001D13E6">
        <w:rPr>
          <w:rFonts w:ascii="Arial" w:hAnsi="Arial" w:cs="Arial"/>
          <w:kern w:val="0"/>
          <w:position w:val="-48"/>
          <w:lang w:val="en-GB"/>
        </w:rPr>
        <w:object w:dxaOrig="680" w:dyaOrig="880">
          <v:shape id="_x0000_i1046" type="#_x0000_t75" style="width:33.8pt;height:44.45pt" o:ole="">
            <v:imagedata r:id="rId95" o:title=""/>
          </v:shape>
          <o:OLEObject Type="Embed" ProgID="Equation.3" ShapeID="_x0000_i1046" DrawAspect="Content" ObjectID="_1528789141" r:id="rId100"/>
        </w:object>
      </w:r>
      <w:r w:rsidRPr="001D13E6">
        <w:rPr>
          <w:rFonts w:ascii="Arial" w:hAnsi="Arial" w:cs="Arial"/>
          <w:kern w:val="0"/>
        </w:rPr>
        <w:t xml:space="preserve"> corrisponde alla quota della spesa per consumi delle famiglie dell’aggregato di prodotto </w:t>
      </w:r>
      <w:r w:rsidRPr="001D13E6">
        <w:rPr>
          <w:rFonts w:ascii="Arial" w:hAnsi="Arial" w:cs="Arial"/>
          <w:i/>
          <w:kern w:val="0"/>
        </w:rPr>
        <w:t>h</w:t>
      </w:r>
      <w:r w:rsidRPr="001D13E6">
        <w:rPr>
          <w:rFonts w:ascii="Arial" w:hAnsi="Arial" w:cs="Arial"/>
          <w:kern w:val="0"/>
        </w:rPr>
        <w:t xml:space="preserve"> nella regione </w:t>
      </w:r>
      <w:r w:rsidRPr="001D13E6">
        <w:rPr>
          <w:rFonts w:ascii="Arial" w:hAnsi="Arial" w:cs="Arial"/>
          <w:i/>
          <w:kern w:val="0"/>
        </w:rPr>
        <w:t>R</w:t>
      </w:r>
      <w:r w:rsidRPr="001D13E6">
        <w:rPr>
          <w:rFonts w:ascii="Arial" w:hAnsi="Arial" w:cs="Arial"/>
          <w:kern w:val="0"/>
        </w:rPr>
        <w:t xml:space="preserve"> sulla spesa nazionale per consumi delle famiglie per lo stesso prodotto.</w:t>
      </w:r>
    </w:p>
    <w:p w:rsidR="000E79A9" w:rsidRPr="001D13E6" w:rsidRDefault="000E79A9" w:rsidP="000E79A9">
      <w:pPr>
        <w:widowControl/>
        <w:overflowPunct/>
        <w:autoSpaceDE/>
        <w:autoSpaceDN/>
        <w:adjustRightInd/>
        <w:spacing w:before="0" w:after="0"/>
        <w:ind w:left="1843"/>
        <w:jc w:val="both"/>
        <w:rPr>
          <w:rFonts w:ascii="Arial" w:hAnsi="Arial" w:cs="Arial"/>
          <w:kern w:val="0"/>
        </w:rPr>
      </w:pPr>
      <w:r w:rsidRPr="001D13E6">
        <w:rPr>
          <w:rFonts w:ascii="Arial" w:hAnsi="Arial" w:cs="Arial"/>
          <w:kern w:val="0"/>
        </w:rPr>
        <w:t>Elaborati gli indici di aggregato di prodotto, si procede al calcolo degli indici nazionali (per aggregato di prodotto e aggregazioni superiori).</w:t>
      </w:r>
    </w:p>
    <w:p w:rsidR="00352912" w:rsidRDefault="00352912" w:rsidP="00352912">
      <w:pPr>
        <w:pStyle w:val="Corpotesto"/>
        <w:spacing w:after="120" w:line="240" w:lineRule="auto"/>
        <w:jc w:val="both"/>
        <w:rPr>
          <w:b/>
          <w:bCs/>
          <w:szCs w:val="24"/>
        </w:rPr>
      </w:pPr>
    </w:p>
    <w:p w:rsidR="001D13E6" w:rsidRDefault="001D13E6" w:rsidP="00352912">
      <w:pPr>
        <w:spacing w:before="0" w:after="120"/>
        <w:ind w:left="1814"/>
        <w:jc w:val="both"/>
        <w:rPr>
          <w:b/>
          <w:bCs/>
          <w:szCs w:val="24"/>
        </w:rPr>
      </w:pPr>
    </w:p>
    <w:sectPr w:rsidR="001D13E6" w:rsidSect="00655E22">
      <w:headerReference w:type="default" r:id="rId101"/>
      <w:pgSz w:w="11907" w:h="16840" w:code="9"/>
      <w:pgMar w:top="397" w:right="680" w:bottom="284" w:left="680" w:header="624" w:footer="62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41" w:rsidRDefault="00823241">
      <w:r>
        <w:separator/>
      </w:r>
    </w:p>
  </w:endnote>
  <w:endnote w:type="continuationSeparator" w:id="0">
    <w:p w:rsidR="00823241" w:rsidRDefault="0082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AD" w:rsidRDefault="00E225AD" w:rsidP="00486F36">
    <w:pPr>
      <w:pStyle w:val="Pidipagina"/>
      <w:framePr w:wrap="around" w:vAnchor="text" w:hAnchor="margin" w:y="1"/>
      <w:rPr>
        <w:rStyle w:val="Numeropagina"/>
        <w:rFonts w:cs="Garamond"/>
      </w:rPr>
    </w:pPr>
    <w:r>
      <w:rPr>
        <w:rStyle w:val="Numeropagina"/>
        <w:rFonts w:cs="Garamond"/>
      </w:rPr>
      <w:fldChar w:fldCharType="begin"/>
    </w:r>
    <w:r>
      <w:rPr>
        <w:rStyle w:val="Numeropagina"/>
        <w:rFonts w:cs="Garamond"/>
      </w:rPr>
      <w:instrText xml:space="preserve">PAGE  </w:instrText>
    </w:r>
    <w:r>
      <w:rPr>
        <w:rStyle w:val="Numeropagina"/>
        <w:rFonts w:cs="Garamond"/>
      </w:rPr>
      <w:fldChar w:fldCharType="end"/>
    </w:r>
  </w:p>
  <w:p w:rsidR="00E225AD" w:rsidRDefault="00E225AD" w:rsidP="0026018C">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AD" w:rsidRPr="00B7563F" w:rsidRDefault="00E225AD" w:rsidP="00AF6E9D">
    <w:pPr>
      <w:pStyle w:val="Pidipagina"/>
      <w:spacing w:before="120"/>
      <w:rPr>
        <w:rFonts w:ascii="Arial" w:hAnsi="Arial" w:cs="Arial"/>
        <w:b/>
        <w:color w:val="FF0000"/>
      </w:rPr>
    </w:pPr>
    <w:r>
      <w:rPr>
        <w:rFonts w:ascii="Arial" w:hAnsi="Arial" w:cs="Arial"/>
        <w:noProof/>
        <w:sz w:val="16"/>
        <w:szCs w:val="16"/>
      </w:rPr>
      <w:drawing>
        <wp:inline distT="0" distB="0" distL="0" distR="0">
          <wp:extent cx="523875" cy="152400"/>
          <wp:effectExtent l="0" t="0" r="9525" b="0"/>
          <wp:docPr id="9" name="Immagine 16"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log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rPr>
        <w:rFonts w:ascii="Arial" w:hAnsi="Arial" w:cs="Arial"/>
        <w:sz w:val="16"/>
        <w:szCs w:val="16"/>
      </w:rPr>
      <w:t xml:space="preserve">  </w:t>
    </w:r>
    <w:r w:rsidRPr="00AF6E9D">
      <w:rPr>
        <w:rStyle w:val="Numeropagina"/>
        <w:rFonts w:ascii="Arial" w:hAnsi="Arial" w:cs="Arial"/>
        <w:b/>
        <w:color w:val="FF0000"/>
      </w:rPr>
      <w:t>|</w:t>
    </w:r>
    <w:r>
      <w:rPr>
        <w:rStyle w:val="Numeropagina"/>
        <w:rFonts w:ascii="Arial" w:hAnsi="Arial" w:cs="Arial"/>
        <w:b/>
        <w:color w:val="808080"/>
      </w:rPr>
      <w:t xml:space="preserve"> </w:t>
    </w:r>
    <w:r w:rsidRPr="00AF6E9D">
      <w:rPr>
        <w:rStyle w:val="Numeropagina"/>
        <w:rFonts w:ascii="Arial" w:hAnsi="Arial" w:cs="Arial"/>
        <w:b/>
        <w:color w:val="808080"/>
      </w:rPr>
      <w:t xml:space="preserve"> </w:t>
    </w:r>
    <w:r w:rsidRPr="00AF6E9D">
      <w:rPr>
        <w:rStyle w:val="Numeropagina"/>
        <w:rFonts w:ascii="Arial" w:hAnsi="Arial" w:cs="Arial"/>
        <w:b/>
        <w:color w:val="808080"/>
      </w:rPr>
      <w:fldChar w:fldCharType="begin"/>
    </w:r>
    <w:r w:rsidRPr="00AF6E9D">
      <w:rPr>
        <w:rStyle w:val="Numeropagina"/>
        <w:rFonts w:ascii="Arial" w:hAnsi="Arial" w:cs="Arial"/>
        <w:b/>
        <w:color w:val="808080"/>
      </w:rPr>
      <w:instrText xml:space="preserve">PAGE  </w:instrText>
    </w:r>
    <w:r w:rsidRPr="00AF6E9D">
      <w:rPr>
        <w:rStyle w:val="Numeropagina"/>
        <w:rFonts w:ascii="Arial" w:hAnsi="Arial" w:cs="Arial"/>
        <w:b/>
        <w:color w:val="808080"/>
      </w:rPr>
      <w:fldChar w:fldCharType="separate"/>
    </w:r>
    <w:r w:rsidR="005E1C51">
      <w:rPr>
        <w:rStyle w:val="Numeropagina"/>
        <w:rFonts w:ascii="Arial" w:hAnsi="Arial" w:cs="Arial"/>
        <w:b/>
        <w:noProof/>
        <w:color w:val="808080"/>
      </w:rPr>
      <w:t>14</w:t>
    </w:r>
    <w:r w:rsidRPr="00AF6E9D">
      <w:rPr>
        <w:rStyle w:val="Numeropagina"/>
        <w:rFonts w:ascii="Arial" w:hAnsi="Arial" w:cs="Arial"/>
        <w:b/>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41" w:rsidRDefault="00823241">
      <w:r>
        <w:separator/>
      </w:r>
    </w:p>
  </w:footnote>
  <w:footnote w:type="continuationSeparator" w:id="0">
    <w:p w:rsidR="00823241" w:rsidRDefault="00823241">
      <w:r>
        <w:continuationSeparator/>
      </w:r>
    </w:p>
  </w:footnote>
  <w:footnote w:id="1">
    <w:p w:rsidR="00E225AD" w:rsidRDefault="00E225AD" w:rsidP="000E79A9">
      <w:pPr>
        <w:pStyle w:val="Testonotaapidipagina"/>
        <w:jc w:val="both"/>
      </w:pPr>
      <w:r>
        <w:rPr>
          <w:rStyle w:val="Rimandonotaapidipagina"/>
        </w:rPr>
        <w:footnoteRef/>
      </w:r>
      <w:r>
        <w:t xml:space="preserve"> </w:t>
      </w:r>
      <w:r w:rsidRPr="00300942">
        <w:rPr>
          <w:rFonts w:ascii="Arial" w:hAnsi="Arial" w:cs="Arial"/>
          <w:sz w:val="16"/>
          <w:szCs w:val="16"/>
        </w:rPr>
        <w:t xml:space="preserve">Gli </w:t>
      </w:r>
      <w:r>
        <w:rPr>
          <w:rFonts w:ascii="Arial" w:hAnsi="Arial" w:cs="Arial"/>
          <w:sz w:val="16"/>
          <w:szCs w:val="16"/>
        </w:rPr>
        <w:t>indici riferiti agli aggregati di prodotto, nei quali si articolano ulteriormente i Segmenti di consumo, so</w:t>
      </w:r>
      <w:r w:rsidRPr="00300942">
        <w:rPr>
          <w:rFonts w:ascii="Arial" w:hAnsi="Arial" w:cs="Arial"/>
          <w:sz w:val="16"/>
          <w:szCs w:val="16"/>
        </w:rPr>
        <w:t>no</w:t>
      </w:r>
      <w:r>
        <w:rPr>
          <w:rFonts w:ascii="Arial" w:hAnsi="Arial" w:cs="Arial"/>
          <w:sz w:val="16"/>
          <w:szCs w:val="16"/>
        </w:rPr>
        <w:t xml:space="preserve"> </w:t>
      </w:r>
      <w:r w:rsidRPr="00300942">
        <w:rPr>
          <w:rFonts w:ascii="Arial" w:hAnsi="Arial" w:cs="Arial"/>
          <w:sz w:val="16"/>
          <w:szCs w:val="16"/>
        </w:rPr>
        <w:t xml:space="preserve">forniti </w:t>
      </w:r>
      <w:r>
        <w:rPr>
          <w:rFonts w:ascii="Arial" w:hAnsi="Arial" w:cs="Arial"/>
          <w:sz w:val="16"/>
          <w:szCs w:val="16"/>
        </w:rPr>
        <w:t>su richiesta per specifiche finalità di studio e analisi</w:t>
      </w:r>
      <w:r w:rsidRPr="00300942">
        <w:t>.</w:t>
      </w:r>
    </w:p>
    <w:p w:rsidR="00E225AD" w:rsidRDefault="00E225AD" w:rsidP="000E79A9">
      <w:pPr>
        <w:pStyle w:val="Testonotaapidipagina"/>
        <w:tabs>
          <w:tab w:val="left" w:pos="6670"/>
        </w:tabs>
        <w:jc w:val="both"/>
      </w:pPr>
      <w:r>
        <w:tab/>
      </w:r>
    </w:p>
  </w:footnote>
  <w:footnote w:id="2">
    <w:p w:rsidR="00E225AD" w:rsidRDefault="00E225AD" w:rsidP="000E79A9">
      <w:pPr>
        <w:spacing w:before="0" w:after="0"/>
        <w:jc w:val="both"/>
      </w:pPr>
      <w:r w:rsidRPr="005E1C51">
        <w:rPr>
          <w:rStyle w:val="Rimandonotaapidipagina"/>
          <w:rFonts w:ascii="Arial" w:hAnsi="Arial" w:cs="Arial"/>
        </w:rPr>
        <w:footnoteRef/>
      </w:r>
      <w:r>
        <w:t xml:space="preserve"> </w:t>
      </w:r>
      <w:r w:rsidRPr="00CD1BE7">
        <w:rPr>
          <w:rFonts w:ascii="Arial" w:hAnsi="Arial" w:cs="Arial"/>
          <w:sz w:val="16"/>
          <w:szCs w:val="16"/>
        </w:rPr>
        <w:t>La pubblicazione degli indici IPCA-</w:t>
      </w:r>
      <w:r>
        <w:rPr>
          <w:rFonts w:ascii="Arial" w:hAnsi="Arial" w:cs="Arial"/>
          <w:sz w:val="16"/>
          <w:szCs w:val="16"/>
        </w:rPr>
        <w:t xml:space="preserve">AS è stata avviata a partire dai dati di </w:t>
      </w:r>
      <w:r w:rsidRPr="00CD1BE7">
        <w:rPr>
          <w:rFonts w:ascii="Arial" w:hAnsi="Arial" w:cs="Arial"/>
          <w:sz w:val="16"/>
          <w:szCs w:val="16"/>
        </w:rPr>
        <w:t>febbraio 2013.</w:t>
      </w:r>
      <w:r>
        <w:rPr>
          <w:rFonts w:ascii="Arial" w:hAnsi="Arial" w:cs="Arial"/>
          <w:sz w:val="16"/>
          <w:szCs w:val="16"/>
        </w:rPr>
        <w:t xml:space="preserve"> </w:t>
      </w:r>
    </w:p>
    <w:p w:rsidR="00E225AD" w:rsidRDefault="00E225AD" w:rsidP="000E79A9">
      <w:pPr>
        <w:spacing w:before="0" w:after="0"/>
        <w:jc w:val="both"/>
        <w:rPr>
          <w:rFonts w:ascii="Arial" w:hAnsi="Arial" w:cs="Arial"/>
          <w:sz w:val="16"/>
          <w:szCs w:val="16"/>
        </w:rPr>
      </w:pPr>
      <w:r>
        <w:rPr>
          <w:rFonts w:ascii="Arial" w:hAnsi="Arial" w:cs="Arial"/>
          <w:sz w:val="16"/>
          <w:szCs w:val="16"/>
        </w:rPr>
        <w:t>L</w:t>
      </w:r>
      <w:r w:rsidRPr="00821D9B">
        <w:rPr>
          <w:rFonts w:ascii="Arial" w:hAnsi="Arial" w:cs="Arial"/>
          <w:sz w:val="16"/>
          <w:szCs w:val="16"/>
        </w:rPr>
        <w:t>a descrizione delle categorie merceologiche che definiscono i diversi aggregati speciali è disponibile sul sito web dell</w:t>
      </w:r>
      <w:r w:rsidRPr="00761A69">
        <w:rPr>
          <w:rFonts w:ascii="Arial" w:hAnsi="Arial" w:cs="Arial"/>
          <w:sz w:val="16"/>
          <w:szCs w:val="16"/>
        </w:rPr>
        <w:t>’</w:t>
      </w:r>
      <w:r w:rsidRPr="00821D9B">
        <w:rPr>
          <w:rFonts w:ascii="Arial" w:hAnsi="Arial" w:cs="Arial"/>
          <w:sz w:val="16"/>
          <w:szCs w:val="16"/>
        </w:rPr>
        <w:t>Eurostat all</w:t>
      </w:r>
      <w:r w:rsidRPr="00761A69">
        <w:rPr>
          <w:rFonts w:ascii="Arial" w:hAnsi="Arial" w:cs="Arial"/>
          <w:sz w:val="16"/>
          <w:szCs w:val="16"/>
        </w:rPr>
        <w:t>’</w:t>
      </w:r>
      <w:r w:rsidRPr="00821D9B">
        <w:rPr>
          <w:rFonts w:ascii="Arial" w:hAnsi="Arial" w:cs="Arial"/>
          <w:sz w:val="16"/>
          <w:szCs w:val="16"/>
        </w:rPr>
        <w:t xml:space="preserve">indirizzo: </w:t>
      </w:r>
    </w:p>
    <w:p w:rsidR="00E225AD" w:rsidRDefault="00823241" w:rsidP="000E79A9">
      <w:pPr>
        <w:spacing w:before="0" w:after="0"/>
        <w:jc w:val="both"/>
        <w:rPr>
          <w:rFonts w:ascii="Arial" w:hAnsi="Arial" w:cs="Arial"/>
          <w:sz w:val="16"/>
          <w:szCs w:val="16"/>
        </w:rPr>
      </w:pPr>
      <w:hyperlink r:id="rId1" w:history="1">
        <w:r w:rsidR="00E225AD" w:rsidRPr="00A270D6">
          <w:rPr>
            <w:rStyle w:val="Collegamentoipertestuale"/>
            <w:rFonts w:ascii="Arial" w:hAnsi="Arial" w:cs="Arial"/>
            <w:sz w:val="16"/>
            <w:szCs w:val="16"/>
          </w:rPr>
          <w:t>http://ec.europa.eu/eurostat/ramon/nomenclatures/index.cfm?TargetUrl=LST_NOM_DTL&amp;StrNom=HICP_2000&amp;StrLanguageCode=EN&amp;IntPcKey=&amp;StrLayoutCode=</w:t>
        </w:r>
      </w:hyperlink>
      <w:hyperlink r:id="rId2" w:history="1"/>
      <w:r w:rsidR="00E225AD" w:rsidRPr="00821D9B">
        <w:rPr>
          <w:rFonts w:ascii="Arial" w:hAnsi="Arial" w:cs="Arial"/>
          <w:sz w:val="16"/>
          <w:szCs w:val="16"/>
        </w:rPr>
        <w:t>.</w:t>
      </w:r>
      <w:r w:rsidR="00E225AD">
        <w:rPr>
          <w:rFonts w:ascii="Arial" w:hAnsi="Arial" w:cs="Arial"/>
          <w:sz w:val="16"/>
          <w:szCs w:val="16"/>
        </w:rPr>
        <w:t xml:space="preserve"> </w:t>
      </w:r>
      <w:r w:rsidR="00E225AD" w:rsidRPr="00821D9B">
        <w:rPr>
          <w:rFonts w:ascii="Arial" w:hAnsi="Arial" w:cs="Arial"/>
          <w:sz w:val="16"/>
          <w:szCs w:val="16"/>
        </w:rPr>
        <w:t>Per la metodologia utilizzata per la sintesi degli indici, si veda invece il Compendio dell</w:t>
      </w:r>
      <w:r w:rsidR="00E225AD" w:rsidRPr="00761A69">
        <w:rPr>
          <w:rFonts w:ascii="Arial" w:hAnsi="Arial" w:cs="Arial"/>
          <w:sz w:val="16"/>
          <w:szCs w:val="16"/>
        </w:rPr>
        <w:t>’</w:t>
      </w:r>
      <w:r w:rsidR="00E225AD" w:rsidRPr="00821D9B">
        <w:rPr>
          <w:rFonts w:ascii="Arial" w:hAnsi="Arial" w:cs="Arial"/>
          <w:sz w:val="16"/>
          <w:szCs w:val="16"/>
        </w:rPr>
        <w:t>IPCA scaricabile all</w:t>
      </w:r>
      <w:r w:rsidR="00E225AD" w:rsidRPr="00761A69">
        <w:rPr>
          <w:rFonts w:ascii="Arial" w:hAnsi="Arial" w:cs="Arial"/>
          <w:sz w:val="16"/>
          <w:szCs w:val="16"/>
        </w:rPr>
        <w:t>’</w:t>
      </w:r>
      <w:r w:rsidR="00E225AD" w:rsidRPr="00821D9B">
        <w:rPr>
          <w:rFonts w:ascii="Arial" w:hAnsi="Arial" w:cs="Arial"/>
          <w:sz w:val="16"/>
          <w:szCs w:val="16"/>
        </w:rPr>
        <w:t>indirizzo:</w:t>
      </w:r>
    </w:p>
    <w:p w:rsidR="00E225AD" w:rsidRDefault="00823241" w:rsidP="000E79A9">
      <w:pPr>
        <w:spacing w:before="0" w:after="0"/>
        <w:jc w:val="both"/>
      </w:pPr>
      <w:hyperlink r:id="rId3" w:history="1">
        <w:r w:rsidR="00E225AD" w:rsidRPr="00AE17D2">
          <w:rPr>
            <w:rStyle w:val="Collegamentoipertestuale"/>
            <w:rFonts w:ascii="Arial" w:hAnsi="Arial" w:cs="Arial"/>
            <w:sz w:val="16"/>
            <w:szCs w:val="16"/>
          </w:rPr>
          <w:t>http://ec.europa.eu/eurostat/documents/3859598/5926625/KS-RA-13-017-EN.PDF/59eb2c1c-da1f-472c-b191-3d0c76521f9b?version=1.0</w:t>
        </w:r>
      </w:hyperlink>
      <w:r w:rsidR="00E225AD">
        <w:rPr>
          <w:rFonts w:ascii="Arial" w:hAnsi="Arial" w:cs="Arial"/>
          <w:sz w:val="16"/>
          <w:szCs w:val="16"/>
        </w:rPr>
        <w:t xml:space="preserve">. </w:t>
      </w:r>
      <w:r w:rsidR="00E225AD" w:rsidRPr="00AD6DD9">
        <w:rPr>
          <w:rFonts w:ascii="Arial" w:hAnsi="Arial" w:cs="Arial"/>
          <w:sz w:val="16"/>
          <w:szCs w:val="16"/>
        </w:rPr>
        <w:t xml:space="preserve">Le serie a partire </w:t>
      </w:r>
      <w:r w:rsidR="00E225AD">
        <w:rPr>
          <w:rFonts w:ascii="Arial" w:hAnsi="Arial" w:cs="Arial"/>
          <w:sz w:val="16"/>
          <w:szCs w:val="16"/>
        </w:rPr>
        <w:t>da</w:t>
      </w:r>
      <w:r w:rsidR="00E225AD" w:rsidRPr="00AD6DD9">
        <w:rPr>
          <w:rFonts w:ascii="Arial" w:hAnsi="Arial" w:cs="Arial"/>
          <w:sz w:val="16"/>
          <w:szCs w:val="16"/>
        </w:rPr>
        <w:t xml:space="preserve"> gennaio 200</w:t>
      </w:r>
      <w:r w:rsidR="00E225AD">
        <w:rPr>
          <w:rFonts w:ascii="Arial" w:hAnsi="Arial" w:cs="Arial"/>
          <w:sz w:val="16"/>
          <w:szCs w:val="16"/>
        </w:rPr>
        <w:t>1</w:t>
      </w:r>
      <w:r w:rsidR="00E225AD" w:rsidRPr="00AD6DD9">
        <w:rPr>
          <w:rFonts w:ascii="Arial" w:hAnsi="Arial" w:cs="Arial"/>
          <w:sz w:val="16"/>
          <w:szCs w:val="16"/>
        </w:rPr>
        <w:t xml:space="preserve"> sono disponibili su I.Stat, il data-warehouse delle statistiche prodotte dall’Istituto, all’interno del tema Prezzi (http://dati.istat.it)</w:t>
      </w:r>
      <w:r w:rsidR="00E225AD">
        <w:rPr>
          <w:rFonts w:ascii="Arial" w:hAnsi="Arial" w:cs="Arial"/>
          <w:sz w:val="16"/>
          <w:szCs w:val="16"/>
        </w:rPr>
        <w:t>.</w:t>
      </w:r>
    </w:p>
  </w:footnote>
  <w:footnote w:id="3">
    <w:p w:rsidR="00E225AD" w:rsidRDefault="00E225AD" w:rsidP="000E79A9">
      <w:pPr>
        <w:pStyle w:val="Testonotaapidipagina"/>
        <w:spacing w:before="0" w:after="0"/>
      </w:pPr>
      <w:r w:rsidRPr="00A365FB">
        <w:rPr>
          <w:rStyle w:val="Rimandonotaapidipagina"/>
          <w:rFonts w:ascii="Arial" w:hAnsi="Arial" w:cs="Arial"/>
        </w:rPr>
        <w:footnoteRef/>
      </w:r>
      <w:r>
        <w:t xml:space="preserve"> </w:t>
      </w:r>
      <w:r w:rsidRPr="004E3E5B">
        <w:rPr>
          <w:rFonts w:ascii="Arial" w:hAnsi="Arial" w:cs="Arial"/>
          <w:sz w:val="16"/>
          <w:szCs w:val="16"/>
        </w:rPr>
        <w:t>Essa è stata adottata a partire dai dati relativi a gennaio 2011.</w:t>
      </w:r>
    </w:p>
  </w:footnote>
  <w:footnote w:id="4">
    <w:p w:rsidR="00E225AD" w:rsidRPr="00B95F85" w:rsidRDefault="00E225AD" w:rsidP="000E79A9">
      <w:pPr>
        <w:pStyle w:val="Testonotaapidipagina"/>
        <w:spacing w:before="0"/>
        <w:jc w:val="both"/>
        <w:rPr>
          <w:color w:val="0070C0"/>
        </w:rPr>
      </w:pPr>
      <w:r w:rsidRPr="00EB586D">
        <w:rPr>
          <w:rStyle w:val="Rimandonotaapidipagina"/>
        </w:rPr>
        <w:footnoteRef/>
      </w:r>
      <w:r w:rsidRPr="00EB586D">
        <w:t xml:space="preserve"> </w:t>
      </w:r>
      <w:r w:rsidRPr="00C03E12">
        <w:rPr>
          <w:rFonts w:ascii="Arial" w:hAnsi="Arial" w:cs="Arial"/>
          <w:sz w:val="16"/>
          <w:szCs w:val="16"/>
        </w:rPr>
        <w:t>Si tratta dei comuni di Asti, Monza, Savona, Prato, Fermo, Frosinone, Chieti, Vasto, Campobasso, Termoli, Isernia, Salerno, Foggia, Matera, Ragusa e Vibo Valentia</w:t>
      </w:r>
      <w:r>
        <w:rPr>
          <w:rFonts w:ascii="Arial" w:hAnsi="Arial" w:cs="Arial"/>
          <w:sz w:val="16"/>
          <w:szCs w:val="16"/>
        </w:rPr>
        <w:t>.</w:t>
      </w:r>
    </w:p>
  </w:footnote>
  <w:footnote w:id="5">
    <w:p w:rsidR="00E225AD" w:rsidRDefault="00E225AD" w:rsidP="000E79A9">
      <w:pPr>
        <w:pStyle w:val="Testonotaapidipagina"/>
        <w:spacing w:after="0"/>
      </w:pPr>
      <w:r w:rsidRPr="004E3E5B">
        <w:rPr>
          <w:rStyle w:val="Rimandonotaapidipagina"/>
          <w:rFonts w:ascii="Arial" w:hAnsi="Arial" w:cs="Arial"/>
        </w:rPr>
        <w:footnoteRef/>
      </w:r>
      <w:r w:rsidRPr="004E3E5B">
        <w:rPr>
          <w:rFonts w:ascii="Arial" w:hAnsi="Arial" w:cs="Arial"/>
        </w:rPr>
        <w:t xml:space="preserve"> </w:t>
      </w:r>
      <w:r w:rsidRPr="00A365FB">
        <w:rPr>
          <w:rFonts w:ascii="Arial" w:hAnsi="Arial" w:cs="Arial"/>
          <w:sz w:val="16"/>
          <w:szCs w:val="16"/>
        </w:rPr>
        <w:t>La pubblicazione di tale indicatore è stata avviata a partire dai dati di marzo 2012</w:t>
      </w:r>
      <w:r w:rsidRPr="004E3E5B">
        <w:rPr>
          <w:rFonts w:ascii="Arial" w:hAnsi="Arial" w:cs="Arial"/>
        </w:rPr>
        <w:t>.</w:t>
      </w:r>
    </w:p>
  </w:footnote>
  <w:footnote w:id="6">
    <w:p w:rsidR="00E225AD" w:rsidRDefault="00E225AD" w:rsidP="000E79A9">
      <w:pPr>
        <w:pStyle w:val="Testonotaapidipagina"/>
        <w:spacing w:before="0" w:after="0"/>
        <w:jc w:val="both"/>
      </w:pPr>
      <w:r w:rsidRPr="00A365FB">
        <w:rPr>
          <w:rStyle w:val="Rimandonotaapidipagina"/>
          <w:rFonts w:ascii="Arial" w:hAnsi="Arial" w:cs="Arial"/>
        </w:rPr>
        <w:footnoteRef/>
      </w:r>
      <w:r w:rsidRPr="00A365FB">
        <w:rPr>
          <w:rStyle w:val="Rimandonotaapidipagina"/>
          <w:rFonts w:cs="Arial"/>
        </w:rPr>
        <w:t xml:space="preserve"> </w:t>
      </w:r>
      <w:r>
        <w:rPr>
          <w:rFonts w:cs="Arial"/>
        </w:rPr>
        <w:t xml:space="preserve"> </w:t>
      </w:r>
      <w:r>
        <w:rPr>
          <w:rFonts w:ascii="Arial" w:hAnsi="Arial" w:cs="Arial"/>
          <w:sz w:val="16"/>
          <w:szCs w:val="16"/>
        </w:rPr>
        <w:t>Le</w:t>
      </w:r>
      <w:r w:rsidRPr="00AD6DD9">
        <w:rPr>
          <w:rFonts w:ascii="Arial" w:hAnsi="Arial" w:cs="Arial"/>
          <w:sz w:val="16"/>
          <w:szCs w:val="16"/>
        </w:rPr>
        <w:t xml:space="preserve"> serie a partire </w:t>
      </w:r>
      <w:r>
        <w:rPr>
          <w:rFonts w:ascii="Arial" w:hAnsi="Arial" w:cs="Arial"/>
          <w:sz w:val="16"/>
          <w:szCs w:val="16"/>
        </w:rPr>
        <w:t>da</w:t>
      </w:r>
      <w:r w:rsidRPr="00AD6DD9">
        <w:rPr>
          <w:rFonts w:ascii="Arial" w:hAnsi="Arial" w:cs="Arial"/>
          <w:sz w:val="16"/>
          <w:szCs w:val="16"/>
        </w:rPr>
        <w:t xml:space="preserve"> gennaio 2002 sono disponibili su I.Stat, all’interno del tema Prezzi (http://dati.istat.it).</w:t>
      </w:r>
    </w:p>
  </w:footnote>
  <w:footnote w:id="7">
    <w:p w:rsidR="00E225AD" w:rsidRDefault="00E225AD" w:rsidP="000E79A9">
      <w:pPr>
        <w:pStyle w:val="Testonotaapidipagina"/>
        <w:spacing w:before="0"/>
        <w:jc w:val="both"/>
      </w:pPr>
      <w:r w:rsidRPr="00A365FB">
        <w:rPr>
          <w:rStyle w:val="Rimandonotaapidipagina"/>
          <w:rFonts w:ascii="Arial" w:hAnsi="Arial" w:cs="Arial"/>
        </w:rPr>
        <w:footnoteRef/>
      </w:r>
      <w:r w:rsidRPr="00F76D40">
        <w:rPr>
          <w:rFonts w:ascii="Arial" w:hAnsi="Arial" w:cs="Arial"/>
          <w:sz w:val="16"/>
          <w:szCs w:val="16"/>
        </w:rPr>
        <w:t xml:space="preserve"> Nelle formule gli estremi dell’intervallo temporale sono indicati in ordine cronologico a partire dal più remoto [ad esempio </w:t>
      </w:r>
      <w:r w:rsidRPr="00F76D40">
        <w:rPr>
          <w:rFonts w:ascii="Arial" w:hAnsi="Arial" w:cs="Arial"/>
          <w:i/>
          <w:sz w:val="16"/>
          <w:szCs w:val="16"/>
        </w:rPr>
        <w:t>a</w:t>
      </w:r>
      <w:r w:rsidRPr="00F76D40">
        <w:rPr>
          <w:rFonts w:ascii="Arial" w:hAnsi="Arial" w:cs="Arial"/>
          <w:sz w:val="16"/>
          <w:szCs w:val="16"/>
        </w:rPr>
        <w:t>, per quanto riguarda il riferimento annuale] al più recente [ad esempio</w:t>
      </w:r>
      <w:r w:rsidRPr="00324627">
        <w:rPr>
          <w:rFonts w:ascii="Arial" w:hAnsi="Arial" w:cs="Arial"/>
          <w:i/>
          <w:sz w:val="16"/>
          <w:szCs w:val="16"/>
        </w:rPr>
        <w:t xml:space="preserve"> b</w:t>
      </w:r>
      <w:r w:rsidRPr="00F76D40">
        <w:rPr>
          <w:rFonts w:ascii="Arial" w:hAnsi="Arial" w:cs="Arial"/>
          <w:sz w:val="16"/>
          <w:szCs w:val="16"/>
        </w:rPr>
        <w:t>, sempre per quanto riguarda il riferimento annuale].</w:t>
      </w:r>
    </w:p>
  </w:footnote>
  <w:footnote w:id="8">
    <w:p w:rsidR="00E225AD" w:rsidRPr="00B775C9" w:rsidRDefault="00E225AD" w:rsidP="000E79A9">
      <w:pPr>
        <w:widowControl/>
        <w:overflowPunct/>
        <w:autoSpaceDE/>
        <w:autoSpaceDN/>
        <w:adjustRightInd/>
        <w:spacing w:before="0" w:after="0"/>
        <w:jc w:val="both"/>
        <w:rPr>
          <w:rFonts w:ascii="Arial" w:hAnsi="Arial" w:cs="Arial"/>
          <w:sz w:val="16"/>
          <w:szCs w:val="16"/>
        </w:rPr>
      </w:pPr>
      <w:r>
        <w:rPr>
          <w:rStyle w:val="Rimandonotaapidipagina"/>
        </w:rPr>
        <w:footnoteRef/>
      </w:r>
      <w:r>
        <w:t xml:space="preserve"> </w:t>
      </w:r>
      <w:r w:rsidRPr="00B775C9">
        <w:rPr>
          <w:rFonts w:ascii="Arial" w:hAnsi="Arial" w:cs="Arial"/>
          <w:sz w:val="16"/>
          <w:szCs w:val="16"/>
        </w:rPr>
        <w:t>Per</w:t>
      </w:r>
      <w:r>
        <w:rPr>
          <w:rFonts w:ascii="Arial" w:hAnsi="Arial" w:cs="Arial"/>
          <w:sz w:val="16"/>
          <w:szCs w:val="16"/>
        </w:rPr>
        <w:t xml:space="preserve"> la stima degli indici di alcuni aggregati di prodotto</w:t>
      </w:r>
      <w:r w:rsidRPr="00B775C9">
        <w:rPr>
          <w:rFonts w:ascii="Arial" w:hAnsi="Arial" w:cs="Arial"/>
          <w:sz w:val="16"/>
          <w:szCs w:val="16"/>
        </w:rPr>
        <w:t xml:space="preserve"> </w:t>
      </w:r>
      <w:r>
        <w:rPr>
          <w:rFonts w:ascii="Arial" w:hAnsi="Arial" w:cs="Arial"/>
          <w:sz w:val="16"/>
          <w:szCs w:val="16"/>
        </w:rPr>
        <w:t>-</w:t>
      </w:r>
      <w:r w:rsidRPr="00B775C9">
        <w:rPr>
          <w:rFonts w:ascii="Arial" w:hAnsi="Arial" w:cs="Arial"/>
          <w:sz w:val="16"/>
          <w:szCs w:val="16"/>
        </w:rPr>
        <w:t xml:space="preserve"> tra </w:t>
      </w:r>
      <w:r>
        <w:rPr>
          <w:rFonts w:ascii="Arial" w:hAnsi="Arial" w:cs="Arial"/>
          <w:sz w:val="16"/>
          <w:szCs w:val="16"/>
        </w:rPr>
        <w:t>i</w:t>
      </w:r>
      <w:r w:rsidRPr="00B775C9">
        <w:rPr>
          <w:rFonts w:ascii="Arial" w:hAnsi="Arial" w:cs="Arial"/>
          <w:sz w:val="16"/>
          <w:szCs w:val="16"/>
        </w:rPr>
        <w:t xml:space="preserve"> quali, gli affitti e le tariffe locali, come la fornitura acqua, la raccolta rifiuti e acque reflue, i servizi di trasporto urbano su strada -, per i comuni che non partecipano all’elaborazione dei dati provvisori dell’inflazione, viene ripetuto il prezzo del mese precedente. Questo perché l'evoluzione dei prezzi negli altri comuni della stessa regione è risultata essere una proxy non soddisfacente.</w:t>
      </w:r>
    </w:p>
    <w:p w:rsidR="00E225AD" w:rsidRDefault="00E225AD" w:rsidP="000E79A9">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AD" w:rsidRDefault="00E225AD" w:rsidP="00AA34B2">
    <w:pPr>
      <w:pStyle w:val="Intestazione"/>
      <w:spacing w:before="0" w:after="0"/>
    </w:pPr>
    <w:r>
      <w:rPr>
        <w:rFonts w:ascii="Arial" w:hAnsi="Arial" w:cs="Arial"/>
        <w:noProof/>
        <w:sz w:val="8"/>
        <w:szCs w:val="8"/>
      </w:rPr>
      <w:drawing>
        <wp:inline distT="0" distB="0" distL="0" distR="0" wp14:anchorId="290C99B7" wp14:editId="6371D6E6">
          <wp:extent cx="1323975" cy="638175"/>
          <wp:effectExtent l="0" t="0" r="9525" b="9525"/>
          <wp:docPr id="25" name="Immagine 17" descr="flash-prezzi-consu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flash-prezzi-consu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8.45pt;height:8.45pt" o:bullet="t">
        <v:imagedata r:id="rId1" o:title=""/>
      </v:shape>
    </w:pict>
  </w:numPicBullet>
  <w:numPicBullet w:numPicBulletId="1">
    <w:pict>
      <v:shape id="_x0000_i1073" type="#_x0000_t75" style="width:4.5pt;height:7.2pt" o:bullet="t">
        <v:imagedata r:id="rId2" o:title=""/>
      </v:shape>
    </w:pict>
  </w:numPicBullet>
  <w:numPicBullet w:numPicBulletId="2">
    <w:pict>
      <v:shape id="_x0000_i1074" type="#_x0000_t75" style="width:11.25pt;height:11.25pt" o:bullet="t">
        <v:imagedata r:id="rId3" o:title=""/>
      </v:shape>
    </w:pict>
  </w:numPicBullet>
  <w:numPicBullet w:numPicBulletId="3">
    <w:pict>
      <v:shape id="_x0000_i1075" type="#_x0000_t75" style="width:11.25pt;height:11.25pt" o:bullet="t">
        <v:imagedata r:id="rId4" o:title=""/>
      </v:shape>
    </w:pict>
  </w:numPicBullet>
  <w:numPicBullet w:numPicBulletId="4">
    <w:pict>
      <v:shape id="_x0000_i1076" type="#_x0000_t75" alt="triangolo" style="width:4.6pt;height:7.55pt;visibility:visible" o:bullet="t">
        <v:imagedata r:id="rId5" o:title="triangolo"/>
      </v:shape>
    </w:pict>
  </w:numPicBullet>
  <w:numPicBullet w:numPicBulletId="5">
    <w:pict>
      <v:shape id="_x0000_i1077" type="#_x0000_t75" alt="quadrato" style="width:8.2pt;height:8.2pt;visibility:visible" o:bullet="t">
        <v:imagedata r:id="rId6" o:title="quadrato"/>
      </v:shape>
    </w:pict>
  </w:numPicBullet>
  <w:numPicBullet w:numPicBulletId="6">
    <w:pict>
      <v:shape id="_x0000_i1078" type="#_x0000_t75" style="width:4.5pt;height:7.2pt" o:bullet="t">
        <v:imagedata r:id="rId7" o:title=""/>
      </v:shape>
    </w:pict>
  </w:numPicBullet>
  <w:abstractNum w:abstractNumId="0">
    <w:nsid w:val="FFFFFFFE"/>
    <w:multiLevelType w:val="singleLevel"/>
    <w:tmpl w:val="DD3E33C8"/>
    <w:lvl w:ilvl="0">
      <w:numFmt w:val="bullet"/>
      <w:lvlText w:val="*"/>
      <w:lvlJc w:val="left"/>
    </w:lvl>
  </w:abstractNum>
  <w:abstractNum w:abstractNumId="1">
    <w:nsid w:val="00EC1498"/>
    <w:multiLevelType w:val="hybridMultilevel"/>
    <w:tmpl w:val="8BDACFC0"/>
    <w:lvl w:ilvl="0" w:tplc="9C4A697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9315D3"/>
    <w:multiLevelType w:val="hybridMultilevel"/>
    <w:tmpl w:val="EF400274"/>
    <w:lvl w:ilvl="0" w:tplc="8CAC103E">
      <w:start w:val="1"/>
      <w:numFmt w:val="bullet"/>
      <w:lvlText w:val=""/>
      <w:lvlPicBulletId w:val="1"/>
      <w:lvlJc w:val="left"/>
      <w:pPr>
        <w:tabs>
          <w:tab w:val="num" w:pos="720"/>
        </w:tabs>
        <w:ind w:left="720" w:hanging="360"/>
      </w:pPr>
      <w:rPr>
        <w:rFonts w:ascii="Symbol" w:hAnsi="Symbol" w:hint="default"/>
      </w:rPr>
    </w:lvl>
    <w:lvl w:ilvl="1" w:tplc="950A23AE" w:tentative="1">
      <w:start w:val="1"/>
      <w:numFmt w:val="bullet"/>
      <w:lvlText w:val=""/>
      <w:lvlJc w:val="left"/>
      <w:pPr>
        <w:tabs>
          <w:tab w:val="num" w:pos="1440"/>
        </w:tabs>
        <w:ind w:left="1440" w:hanging="360"/>
      </w:pPr>
      <w:rPr>
        <w:rFonts w:ascii="Symbol" w:hAnsi="Symbol" w:hint="default"/>
      </w:rPr>
    </w:lvl>
    <w:lvl w:ilvl="2" w:tplc="10E0DD76" w:tentative="1">
      <w:start w:val="1"/>
      <w:numFmt w:val="bullet"/>
      <w:lvlText w:val=""/>
      <w:lvlJc w:val="left"/>
      <w:pPr>
        <w:tabs>
          <w:tab w:val="num" w:pos="2160"/>
        </w:tabs>
        <w:ind w:left="2160" w:hanging="360"/>
      </w:pPr>
      <w:rPr>
        <w:rFonts w:ascii="Symbol" w:hAnsi="Symbol" w:hint="default"/>
      </w:rPr>
    </w:lvl>
    <w:lvl w:ilvl="3" w:tplc="A5229CBE" w:tentative="1">
      <w:start w:val="1"/>
      <w:numFmt w:val="bullet"/>
      <w:lvlText w:val=""/>
      <w:lvlJc w:val="left"/>
      <w:pPr>
        <w:tabs>
          <w:tab w:val="num" w:pos="2880"/>
        </w:tabs>
        <w:ind w:left="2880" w:hanging="360"/>
      </w:pPr>
      <w:rPr>
        <w:rFonts w:ascii="Symbol" w:hAnsi="Symbol" w:hint="default"/>
      </w:rPr>
    </w:lvl>
    <w:lvl w:ilvl="4" w:tplc="BD863054" w:tentative="1">
      <w:start w:val="1"/>
      <w:numFmt w:val="bullet"/>
      <w:lvlText w:val=""/>
      <w:lvlJc w:val="left"/>
      <w:pPr>
        <w:tabs>
          <w:tab w:val="num" w:pos="3600"/>
        </w:tabs>
        <w:ind w:left="3600" w:hanging="360"/>
      </w:pPr>
      <w:rPr>
        <w:rFonts w:ascii="Symbol" w:hAnsi="Symbol" w:hint="default"/>
      </w:rPr>
    </w:lvl>
    <w:lvl w:ilvl="5" w:tplc="6046C154" w:tentative="1">
      <w:start w:val="1"/>
      <w:numFmt w:val="bullet"/>
      <w:lvlText w:val=""/>
      <w:lvlJc w:val="left"/>
      <w:pPr>
        <w:tabs>
          <w:tab w:val="num" w:pos="4320"/>
        </w:tabs>
        <w:ind w:left="4320" w:hanging="360"/>
      </w:pPr>
      <w:rPr>
        <w:rFonts w:ascii="Symbol" w:hAnsi="Symbol" w:hint="default"/>
      </w:rPr>
    </w:lvl>
    <w:lvl w:ilvl="6" w:tplc="377ACC06" w:tentative="1">
      <w:start w:val="1"/>
      <w:numFmt w:val="bullet"/>
      <w:lvlText w:val=""/>
      <w:lvlJc w:val="left"/>
      <w:pPr>
        <w:tabs>
          <w:tab w:val="num" w:pos="5040"/>
        </w:tabs>
        <w:ind w:left="5040" w:hanging="360"/>
      </w:pPr>
      <w:rPr>
        <w:rFonts w:ascii="Symbol" w:hAnsi="Symbol" w:hint="default"/>
      </w:rPr>
    </w:lvl>
    <w:lvl w:ilvl="7" w:tplc="8D744430" w:tentative="1">
      <w:start w:val="1"/>
      <w:numFmt w:val="bullet"/>
      <w:lvlText w:val=""/>
      <w:lvlJc w:val="left"/>
      <w:pPr>
        <w:tabs>
          <w:tab w:val="num" w:pos="5760"/>
        </w:tabs>
        <w:ind w:left="5760" w:hanging="360"/>
      </w:pPr>
      <w:rPr>
        <w:rFonts w:ascii="Symbol" w:hAnsi="Symbol" w:hint="default"/>
      </w:rPr>
    </w:lvl>
    <w:lvl w:ilvl="8" w:tplc="49A80EFA" w:tentative="1">
      <w:start w:val="1"/>
      <w:numFmt w:val="bullet"/>
      <w:lvlText w:val=""/>
      <w:lvlJc w:val="left"/>
      <w:pPr>
        <w:tabs>
          <w:tab w:val="num" w:pos="6480"/>
        </w:tabs>
        <w:ind w:left="6480" w:hanging="360"/>
      </w:pPr>
      <w:rPr>
        <w:rFonts w:ascii="Symbol" w:hAnsi="Symbol" w:hint="default"/>
      </w:rPr>
    </w:lvl>
  </w:abstractNum>
  <w:abstractNum w:abstractNumId="3">
    <w:nsid w:val="0D314AE2"/>
    <w:multiLevelType w:val="hybridMultilevel"/>
    <w:tmpl w:val="D17409A8"/>
    <w:lvl w:ilvl="0" w:tplc="3E1AF04C">
      <w:start w:val="1"/>
      <w:numFmt w:val="bullet"/>
      <w:lvlText w:val=""/>
      <w:lvlPicBulletId w:val="2"/>
      <w:lvlJc w:val="left"/>
      <w:pPr>
        <w:tabs>
          <w:tab w:val="num" w:pos="340"/>
        </w:tabs>
      </w:pPr>
      <w:rPr>
        <w:rFonts w:ascii="Symbol" w:hAnsi="Symbol" w:hint="default"/>
        <w:b w:val="0"/>
        <w:i w:val="0"/>
        <w:color w:val="auto"/>
        <w:spacing w:val="0"/>
        <w:sz w:val="24"/>
      </w:rPr>
    </w:lvl>
    <w:lvl w:ilvl="1" w:tplc="F08E10A6">
      <w:start w:val="1"/>
      <w:numFmt w:val="bullet"/>
      <w:lvlText w:val=""/>
      <w:lvlPicBulletId w:val="3"/>
      <w:lvlJc w:val="left"/>
      <w:pPr>
        <w:tabs>
          <w:tab w:val="num" w:pos="1440"/>
        </w:tabs>
        <w:ind w:left="1440" w:hanging="360"/>
      </w:pPr>
      <w:rPr>
        <w:rFonts w:ascii="Symbol" w:hAnsi="Symbol" w:hint="default"/>
        <w:b w:val="0"/>
        <w:i w:val="0"/>
        <w:color w:val="auto"/>
        <w:spacing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E172E02"/>
    <w:multiLevelType w:val="hybridMultilevel"/>
    <w:tmpl w:val="1FCC2E30"/>
    <w:lvl w:ilvl="0" w:tplc="A8762A92">
      <w:start w:val="1"/>
      <w:numFmt w:val="bullet"/>
      <w:lvlText w:val=""/>
      <w:lvlPicBulletId w:val="0"/>
      <w:lvlJc w:val="left"/>
      <w:pPr>
        <w:tabs>
          <w:tab w:val="num" w:pos="502"/>
        </w:tabs>
        <w:ind w:left="502" w:hanging="360"/>
      </w:pPr>
      <w:rPr>
        <w:rFonts w:ascii="Symbol" w:hAnsi="Symbol" w:hint="default"/>
      </w:rPr>
    </w:lvl>
    <w:lvl w:ilvl="1" w:tplc="6D6EAF6E">
      <w:start w:val="1"/>
      <w:numFmt w:val="bullet"/>
      <w:lvlText w:val=""/>
      <w:lvlJc w:val="left"/>
      <w:pPr>
        <w:tabs>
          <w:tab w:val="num" w:pos="305"/>
        </w:tabs>
        <w:ind w:left="305" w:hanging="360"/>
      </w:pPr>
      <w:rPr>
        <w:rFonts w:ascii="Symbol" w:hAnsi="Symbol" w:hint="default"/>
      </w:rPr>
    </w:lvl>
    <w:lvl w:ilvl="2" w:tplc="7A64CB7E" w:tentative="1">
      <w:start w:val="1"/>
      <w:numFmt w:val="bullet"/>
      <w:lvlText w:val=""/>
      <w:lvlJc w:val="left"/>
      <w:pPr>
        <w:tabs>
          <w:tab w:val="num" w:pos="1025"/>
        </w:tabs>
        <w:ind w:left="1025" w:hanging="360"/>
      </w:pPr>
      <w:rPr>
        <w:rFonts w:ascii="Symbol" w:hAnsi="Symbol" w:hint="default"/>
      </w:rPr>
    </w:lvl>
    <w:lvl w:ilvl="3" w:tplc="19A2BEA6" w:tentative="1">
      <w:start w:val="1"/>
      <w:numFmt w:val="bullet"/>
      <w:lvlText w:val=""/>
      <w:lvlJc w:val="left"/>
      <w:pPr>
        <w:tabs>
          <w:tab w:val="num" w:pos="1745"/>
        </w:tabs>
        <w:ind w:left="1745" w:hanging="360"/>
      </w:pPr>
      <w:rPr>
        <w:rFonts w:ascii="Symbol" w:hAnsi="Symbol" w:hint="default"/>
      </w:rPr>
    </w:lvl>
    <w:lvl w:ilvl="4" w:tplc="7A906554" w:tentative="1">
      <w:start w:val="1"/>
      <w:numFmt w:val="bullet"/>
      <w:lvlText w:val=""/>
      <w:lvlJc w:val="left"/>
      <w:pPr>
        <w:tabs>
          <w:tab w:val="num" w:pos="2465"/>
        </w:tabs>
        <w:ind w:left="2465" w:hanging="360"/>
      </w:pPr>
      <w:rPr>
        <w:rFonts w:ascii="Symbol" w:hAnsi="Symbol" w:hint="default"/>
      </w:rPr>
    </w:lvl>
    <w:lvl w:ilvl="5" w:tplc="DF94CC1E" w:tentative="1">
      <w:start w:val="1"/>
      <w:numFmt w:val="bullet"/>
      <w:lvlText w:val=""/>
      <w:lvlJc w:val="left"/>
      <w:pPr>
        <w:tabs>
          <w:tab w:val="num" w:pos="3185"/>
        </w:tabs>
        <w:ind w:left="3185" w:hanging="360"/>
      </w:pPr>
      <w:rPr>
        <w:rFonts w:ascii="Symbol" w:hAnsi="Symbol" w:hint="default"/>
      </w:rPr>
    </w:lvl>
    <w:lvl w:ilvl="6" w:tplc="10AAB236" w:tentative="1">
      <w:start w:val="1"/>
      <w:numFmt w:val="bullet"/>
      <w:lvlText w:val=""/>
      <w:lvlJc w:val="left"/>
      <w:pPr>
        <w:tabs>
          <w:tab w:val="num" w:pos="3905"/>
        </w:tabs>
        <w:ind w:left="3905" w:hanging="360"/>
      </w:pPr>
      <w:rPr>
        <w:rFonts w:ascii="Symbol" w:hAnsi="Symbol" w:hint="default"/>
      </w:rPr>
    </w:lvl>
    <w:lvl w:ilvl="7" w:tplc="387E825A" w:tentative="1">
      <w:start w:val="1"/>
      <w:numFmt w:val="bullet"/>
      <w:lvlText w:val=""/>
      <w:lvlJc w:val="left"/>
      <w:pPr>
        <w:tabs>
          <w:tab w:val="num" w:pos="4625"/>
        </w:tabs>
        <w:ind w:left="4625" w:hanging="360"/>
      </w:pPr>
      <w:rPr>
        <w:rFonts w:ascii="Symbol" w:hAnsi="Symbol" w:hint="default"/>
      </w:rPr>
    </w:lvl>
    <w:lvl w:ilvl="8" w:tplc="4A643362" w:tentative="1">
      <w:start w:val="1"/>
      <w:numFmt w:val="bullet"/>
      <w:lvlText w:val=""/>
      <w:lvlJc w:val="left"/>
      <w:pPr>
        <w:tabs>
          <w:tab w:val="num" w:pos="5345"/>
        </w:tabs>
        <w:ind w:left="5345" w:hanging="360"/>
      </w:pPr>
      <w:rPr>
        <w:rFonts w:ascii="Symbol" w:hAnsi="Symbol" w:hint="default"/>
      </w:rPr>
    </w:lvl>
  </w:abstractNum>
  <w:abstractNum w:abstractNumId="5">
    <w:nsid w:val="12265CD1"/>
    <w:multiLevelType w:val="hybridMultilevel"/>
    <w:tmpl w:val="2D9636B0"/>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nsid w:val="15982428"/>
    <w:multiLevelType w:val="hybridMultilevel"/>
    <w:tmpl w:val="57F2645A"/>
    <w:lvl w:ilvl="0" w:tplc="623C0B8E">
      <w:start w:val="1"/>
      <w:numFmt w:val="bullet"/>
      <w:lvlText w:val=""/>
      <w:lvlJc w:val="left"/>
      <w:pPr>
        <w:tabs>
          <w:tab w:val="num" w:pos="284"/>
        </w:tabs>
        <w:ind w:left="284" w:hanging="284"/>
      </w:pPr>
      <w:rPr>
        <w:rFonts w:ascii="Symbol" w:hAnsi="Symbol" w:hint="default"/>
      </w:rPr>
    </w:lvl>
    <w:lvl w:ilvl="1" w:tplc="6574AAB6">
      <w:start w:val="1"/>
      <w:numFmt w:val="decimal"/>
      <w:lvlText w:val="%2."/>
      <w:lvlJc w:val="left"/>
      <w:pPr>
        <w:tabs>
          <w:tab w:val="num" w:pos="1469"/>
        </w:tabs>
        <w:ind w:left="1469" w:hanging="720"/>
      </w:pPr>
      <w:rPr>
        <w:rFonts w:cs="Times New Roman"/>
      </w:rPr>
    </w:lvl>
    <w:lvl w:ilvl="2" w:tplc="0410001B">
      <w:start w:val="1"/>
      <w:numFmt w:val="decimal"/>
      <w:lvlText w:val="%3."/>
      <w:lvlJc w:val="left"/>
      <w:pPr>
        <w:tabs>
          <w:tab w:val="num" w:pos="1829"/>
        </w:tabs>
        <w:ind w:left="1829" w:hanging="360"/>
      </w:pPr>
      <w:rPr>
        <w:rFonts w:cs="Times New Roman"/>
      </w:rPr>
    </w:lvl>
    <w:lvl w:ilvl="3" w:tplc="0410000F">
      <w:start w:val="1"/>
      <w:numFmt w:val="decimal"/>
      <w:lvlText w:val="%4."/>
      <w:lvlJc w:val="left"/>
      <w:pPr>
        <w:tabs>
          <w:tab w:val="num" w:pos="2549"/>
        </w:tabs>
        <w:ind w:left="2549" w:hanging="360"/>
      </w:pPr>
      <w:rPr>
        <w:rFonts w:cs="Times New Roman"/>
      </w:rPr>
    </w:lvl>
    <w:lvl w:ilvl="4" w:tplc="04100019">
      <w:start w:val="1"/>
      <w:numFmt w:val="decimal"/>
      <w:lvlText w:val="%5."/>
      <w:lvlJc w:val="left"/>
      <w:pPr>
        <w:tabs>
          <w:tab w:val="num" w:pos="3269"/>
        </w:tabs>
        <w:ind w:left="3269" w:hanging="360"/>
      </w:pPr>
      <w:rPr>
        <w:rFonts w:cs="Times New Roman"/>
      </w:rPr>
    </w:lvl>
    <w:lvl w:ilvl="5" w:tplc="0410001B">
      <w:start w:val="1"/>
      <w:numFmt w:val="decimal"/>
      <w:lvlText w:val="%6."/>
      <w:lvlJc w:val="left"/>
      <w:pPr>
        <w:tabs>
          <w:tab w:val="num" w:pos="3989"/>
        </w:tabs>
        <w:ind w:left="3989" w:hanging="360"/>
      </w:pPr>
      <w:rPr>
        <w:rFonts w:cs="Times New Roman"/>
      </w:rPr>
    </w:lvl>
    <w:lvl w:ilvl="6" w:tplc="0410000F">
      <w:start w:val="1"/>
      <w:numFmt w:val="decimal"/>
      <w:lvlText w:val="%7."/>
      <w:lvlJc w:val="left"/>
      <w:pPr>
        <w:tabs>
          <w:tab w:val="num" w:pos="4709"/>
        </w:tabs>
        <w:ind w:left="4709" w:hanging="360"/>
      </w:pPr>
      <w:rPr>
        <w:rFonts w:cs="Times New Roman"/>
      </w:rPr>
    </w:lvl>
    <w:lvl w:ilvl="7" w:tplc="04100019">
      <w:start w:val="1"/>
      <w:numFmt w:val="decimal"/>
      <w:lvlText w:val="%8."/>
      <w:lvlJc w:val="left"/>
      <w:pPr>
        <w:tabs>
          <w:tab w:val="num" w:pos="5429"/>
        </w:tabs>
        <w:ind w:left="5429" w:hanging="360"/>
      </w:pPr>
      <w:rPr>
        <w:rFonts w:cs="Times New Roman"/>
      </w:rPr>
    </w:lvl>
    <w:lvl w:ilvl="8" w:tplc="0410001B">
      <w:start w:val="1"/>
      <w:numFmt w:val="decimal"/>
      <w:lvlText w:val="%9."/>
      <w:lvlJc w:val="left"/>
      <w:pPr>
        <w:tabs>
          <w:tab w:val="num" w:pos="6149"/>
        </w:tabs>
        <w:ind w:left="6149" w:hanging="360"/>
      </w:pPr>
      <w:rPr>
        <w:rFonts w:cs="Times New Roman"/>
      </w:rPr>
    </w:lvl>
  </w:abstractNum>
  <w:abstractNum w:abstractNumId="7">
    <w:nsid w:val="17723408"/>
    <w:multiLevelType w:val="hybridMultilevel"/>
    <w:tmpl w:val="9CBAF17E"/>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8">
    <w:nsid w:val="1BE41F36"/>
    <w:multiLevelType w:val="hybridMultilevel"/>
    <w:tmpl w:val="1924FA24"/>
    <w:lvl w:ilvl="0" w:tplc="DD162774">
      <w:start w:val="1"/>
      <w:numFmt w:val="lowerLetter"/>
      <w:lvlText w:val="(%1)"/>
      <w:lvlJc w:val="left"/>
      <w:pPr>
        <w:ind w:left="2174" w:hanging="360"/>
      </w:pPr>
      <w:rPr>
        <w:rFonts w:cs="Times New Roman" w:hint="default"/>
      </w:rPr>
    </w:lvl>
    <w:lvl w:ilvl="1" w:tplc="04100019" w:tentative="1">
      <w:start w:val="1"/>
      <w:numFmt w:val="lowerLetter"/>
      <w:lvlText w:val="%2."/>
      <w:lvlJc w:val="left"/>
      <w:pPr>
        <w:ind w:left="2894" w:hanging="360"/>
      </w:pPr>
      <w:rPr>
        <w:rFonts w:cs="Times New Roman"/>
      </w:rPr>
    </w:lvl>
    <w:lvl w:ilvl="2" w:tplc="0410001B" w:tentative="1">
      <w:start w:val="1"/>
      <w:numFmt w:val="lowerRoman"/>
      <w:lvlText w:val="%3."/>
      <w:lvlJc w:val="right"/>
      <w:pPr>
        <w:ind w:left="3614" w:hanging="180"/>
      </w:pPr>
      <w:rPr>
        <w:rFonts w:cs="Times New Roman"/>
      </w:rPr>
    </w:lvl>
    <w:lvl w:ilvl="3" w:tplc="0410000F" w:tentative="1">
      <w:start w:val="1"/>
      <w:numFmt w:val="decimal"/>
      <w:lvlText w:val="%4."/>
      <w:lvlJc w:val="left"/>
      <w:pPr>
        <w:ind w:left="4334" w:hanging="360"/>
      </w:pPr>
      <w:rPr>
        <w:rFonts w:cs="Times New Roman"/>
      </w:rPr>
    </w:lvl>
    <w:lvl w:ilvl="4" w:tplc="04100019" w:tentative="1">
      <w:start w:val="1"/>
      <w:numFmt w:val="lowerLetter"/>
      <w:lvlText w:val="%5."/>
      <w:lvlJc w:val="left"/>
      <w:pPr>
        <w:ind w:left="5054" w:hanging="360"/>
      </w:pPr>
      <w:rPr>
        <w:rFonts w:cs="Times New Roman"/>
      </w:rPr>
    </w:lvl>
    <w:lvl w:ilvl="5" w:tplc="0410001B" w:tentative="1">
      <w:start w:val="1"/>
      <w:numFmt w:val="lowerRoman"/>
      <w:lvlText w:val="%6."/>
      <w:lvlJc w:val="right"/>
      <w:pPr>
        <w:ind w:left="5774" w:hanging="180"/>
      </w:pPr>
      <w:rPr>
        <w:rFonts w:cs="Times New Roman"/>
      </w:rPr>
    </w:lvl>
    <w:lvl w:ilvl="6" w:tplc="0410000F" w:tentative="1">
      <w:start w:val="1"/>
      <w:numFmt w:val="decimal"/>
      <w:lvlText w:val="%7."/>
      <w:lvlJc w:val="left"/>
      <w:pPr>
        <w:ind w:left="6494" w:hanging="360"/>
      </w:pPr>
      <w:rPr>
        <w:rFonts w:cs="Times New Roman"/>
      </w:rPr>
    </w:lvl>
    <w:lvl w:ilvl="7" w:tplc="04100019" w:tentative="1">
      <w:start w:val="1"/>
      <w:numFmt w:val="lowerLetter"/>
      <w:lvlText w:val="%8."/>
      <w:lvlJc w:val="left"/>
      <w:pPr>
        <w:ind w:left="7214" w:hanging="360"/>
      </w:pPr>
      <w:rPr>
        <w:rFonts w:cs="Times New Roman"/>
      </w:rPr>
    </w:lvl>
    <w:lvl w:ilvl="8" w:tplc="0410001B" w:tentative="1">
      <w:start w:val="1"/>
      <w:numFmt w:val="lowerRoman"/>
      <w:lvlText w:val="%9."/>
      <w:lvlJc w:val="right"/>
      <w:pPr>
        <w:ind w:left="7934" w:hanging="180"/>
      </w:pPr>
      <w:rPr>
        <w:rFonts w:cs="Times New Roman"/>
      </w:rPr>
    </w:lvl>
  </w:abstractNum>
  <w:abstractNum w:abstractNumId="9">
    <w:nsid w:val="1D1E40A9"/>
    <w:multiLevelType w:val="hybridMultilevel"/>
    <w:tmpl w:val="DDF6BE94"/>
    <w:lvl w:ilvl="0" w:tplc="54F4683A">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0">
    <w:nsid w:val="2B88452E"/>
    <w:multiLevelType w:val="hybridMultilevel"/>
    <w:tmpl w:val="CCD0EB2E"/>
    <w:lvl w:ilvl="0" w:tplc="18D0257E">
      <w:start w:val="1"/>
      <w:numFmt w:val="lowerLetter"/>
      <w:lvlText w:val="(%1)"/>
      <w:lvlJc w:val="left"/>
      <w:pPr>
        <w:tabs>
          <w:tab w:val="num" w:pos="2174"/>
        </w:tabs>
        <w:ind w:left="2174" w:hanging="360"/>
      </w:pPr>
      <w:rPr>
        <w:rFonts w:cs="Times New Roman" w:hint="default"/>
      </w:rPr>
    </w:lvl>
    <w:lvl w:ilvl="1" w:tplc="04100019" w:tentative="1">
      <w:start w:val="1"/>
      <w:numFmt w:val="lowerLetter"/>
      <w:lvlText w:val="%2."/>
      <w:lvlJc w:val="left"/>
      <w:pPr>
        <w:tabs>
          <w:tab w:val="num" w:pos="2894"/>
        </w:tabs>
        <w:ind w:left="2894" w:hanging="360"/>
      </w:pPr>
      <w:rPr>
        <w:rFonts w:cs="Times New Roman"/>
      </w:rPr>
    </w:lvl>
    <w:lvl w:ilvl="2" w:tplc="0410001B" w:tentative="1">
      <w:start w:val="1"/>
      <w:numFmt w:val="lowerRoman"/>
      <w:lvlText w:val="%3."/>
      <w:lvlJc w:val="right"/>
      <w:pPr>
        <w:tabs>
          <w:tab w:val="num" w:pos="3614"/>
        </w:tabs>
        <w:ind w:left="3614" w:hanging="180"/>
      </w:pPr>
      <w:rPr>
        <w:rFonts w:cs="Times New Roman"/>
      </w:rPr>
    </w:lvl>
    <w:lvl w:ilvl="3" w:tplc="0410000F" w:tentative="1">
      <w:start w:val="1"/>
      <w:numFmt w:val="decimal"/>
      <w:lvlText w:val="%4."/>
      <w:lvlJc w:val="left"/>
      <w:pPr>
        <w:tabs>
          <w:tab w:val="num" w:pos="4334"/>
        </w:tabs>
        <w:ind w:left="4334" w:hanging="360"/>
      </w:pPr>
      <w:rPr>
        <w:rFonts w:cs="Times New Roman"/>
      </w:rPr>
    </w:lvl>
    <w:lvl w:ilvl="4" w:tplc="04100019" w:tentative="1">
      <w:start w:val="1"/>
      <w:numFmt w:val="lowerLetter"/>
      <w:lvlText w:val="%5."/>
      <w:lvlJc w:val="left"/>
      <w:pPr>
        <w:tabs>
          <w:tab w:val="num" w:pos="5054"/>
        </w:tabs>
        <w:ind w:left="5054" w:hanging="360"/>
      </w:pPr>
      <w:rPr>
        <w:rFonts w:cs="Times New Roman"/>
      </w:rPr>
    </w:lvl>
    <w:lvl w:ilvl="5" w:tplc="0410001B" w:tentative="1">
      <w:start w:val="1"/>
      <w:numFmt w:val="lowerRoman"/>
      <w:lvlText w:val="%6."/>
      <w:lvlJc w:val="right"/>
      <w:pPr>
        <w:tabs>
          <w:tab w:val="num" w:pos="5774"/>
        </w:tabs>
        <w:ind w:left="5774" w:hanging="180"/>
      </w:pPr>
      <w:rPr>
        <w:rFonts w:cs="Times New Roman"/>
      </w:rPr>
    </w:lvl>
    <w:lvl w:ilvl="6" w:tplc="0410000F" w:tentative="1">
      <w:start w:val="1"/>
      <w:numFmt w:val="decimal"/>
      <w:lvlText w:val="%7."/>
      <w:lvlJc w:val="left"/>
      <w:pPr>
        <w:tabs>
          <w:tab w:val="num" w:pos="6494"/>
        </w:tabs>
        <w:ind w:left="6494" w:hanging="360"/>
      </w:pPr>
      <w:rPr>
        <w:rFonts w:cs="Times New Roman"/>
      </w:rPr>
    </w:lvl>
    <w:lvl w:ilvl="7" w:tplc="04100019" w:tentative="1">
      <w:start w:val="1"/>
      <w:numFmt w:val="lowerLetter"/>
      <w:lvlText w:val="%8."/>
      <w:lvlJc w:val="left"/>
      <w:pPr>
        <w:tabs>
          <w:tab w:val="num" w:pos="7214"/>
        </w:tabs>
        <w:ind w:left="7214" w:hanging="360"/>
      </w:pPr>
      <w:rPr>
        <w:rFonts w:cs="Times New Roman"/>
      </w:rPr>
    </w:lvl>
    <w:lvl w:ilvl="8" w:tplc="0410001B" w:tentative="1">
      <w:start w:val="1"/>
      <w:numFmt w:val="lowerRoman"/>
      <w:lvlText w:val="%9."/>
      <w:lvlJc w:val="right"/>
      <w:pPr>
        <w:tabs>
          <w:tab w:val="num" w:pos="7934"/>
        </w:tabs>
        <w:ind w:left="7934" w:hanging="180"/>
      </w:pPr>
      <w:rPr>
        <w:rFonts w:cs="Times New Roman"/>
      </w:rPr>
    </w:lvl>
  </w:abstractNum>
  <w:abstractNum w:abstractNumId="11">
    <w:nsid w:val="2CD17C26"/>
    <w:multiLevelType w:val="hybridMultilevel"/>
    <w:tmpl w:val="6832D586"/>
    <w:lvl w:ilvl="0" w:tplc="E0247AFA">
      <w:start w:val="1"/>
      <w:numFmt w:val="lowerLetter"/>
      <w:lvlText w:val="%1)"/>
      <w:lvlJc w:val="left"/>
      <w:pPr>
        <w:ind w:left="2174" w:hanging="360"/>
      </w:pPr>
      <w:rPr>
        <w:rFonts w:hint="default"/>
      </w:rPr>
    </w:lvl>
    <w:lvl w:ilvl="1" w:tplc="08090019" w:tentative="1">
      <w:start w:val="1"/>
      <w:numFmt w:val="lowerLetter"/>
      <w:lvlText w:val="%2."/>
      <w:lvlJc w:val="left"/>
      <w:pPr>
        <w:ind w:left="2894" w:hanging="360"/>
      </w:pPr>
    </w:lvl>
    <w:lvl w:ilvl="2" w:tplc="0809001B" w:tentative="1">
      <w:start w:val="1"/>
      <w:numFmt w:val="lowerRoman"/>
      <w:lvlText w:val="%3."/>
      <w:lvlJc w:val="right"/>
      <w:pPr>
        <w:ind w:left="3614" w:hanging="180"/>
      </w:pPr>
    </w:lvl>
    <w:lvl w:ilvl="3" w:tplc="0809000F" w:tentative="1">
      <w:start w:val="1"/>
      <w:numFmt w:val="decimal"/>
      <w:lvlText w:val="%4."/>
      <w:lvlJc w:val="left"/>
      <w:pPr>
        <w:ind w:left="4334" w:hanging="360"/>
      </w:pPr>
    </w:lvl>
    <w:lvl w:ilvl="4" w:tplc="08090019" w:tentative="1">
      <w:start w:val="1"/>
      <w:numFmt w:val="lowerLetter"/>
      <w:lvlText w:val="%5."/>
      <w:lvlJc w:val="left"/>
      <w:pPr>
        <w:ind w:left="5054" w:hanging="360"/>
      </w:pPr>
    </w:lvl>
    <w:lvl w:ilvl="5" w:tplc="0809001B" w:tentative="1">
      <w:start w:val="1"/>
      <w:numFmt w:val="lowerRoman"/>
      <w:lvlText w:val="%6."/>
      <w:lvlJc w:val="right"/>
      <w:pPr>
        <w:ind w:left="5774" w:hanging="180"/>
      </w:pPr>
    </w:lvl>
    <w:lvl w:ilvl="6" w:tplc="0809000F" w:tentative="1">
      <w:start w:val="1"/>
      <w:numFmt w:val="decimal"/>
      <w:lvlText w:val="%7."/>
      <w:lvlJc w:val="left"/>
      <w:pPr>
        <w:ind w:left="6494" w:hanging="360"/>
      </w:pPr>
    </w:lvl>
    <w:lvl w:ilvl="7" w:tplc="08090019" w:tentative="1">
      <w:start w:val="1"/>
      <w:numFmt w:val="lowerLetter"/>
      <w:lvlText w:val="%8."/>
      <w:lvlJc w:val="left"/>
      <w:pPr>
        <w:ind w:left="7214" w:hanging="360"/>
      </w:pPr>
    </w:lvl>
    <w:lvl w:ilvl="8" w:tplc="0809001B" w:tentative="1">
      <w:start w:val="1"/>
      <w:numFmt w:val="lowerRoman"/>
      <w:lvlText w:val="%9."/>
      <w:lvlJc w:val="right"/>
      <w:pPr>
        <w:ind w:left="7934" w:hanging="180"/>
      </w:pPr>
    </w:lvl>
  </w:abstractNum>
  <w:abstractNum w:abstractNumId="12">
    <w:nsid w:val="2D9F6434"/>
    <w:multiLevelType w:val="hybridMultilevel"/>
    <w:tmpl w:val="C7769420"/>
    <w:lvl w:ilvl="0" w:tplc="B2FE55E2">
      <w:start w:val="1"/>
      <w:numFmt w:val="bullet"/>
      <w:lvlText w:val=""/>
      <w:lvlPicBulletId w:val="1"/>
      <w:lvlJc w:val="left"/>
      <w:pPr>
        <w:tabs>
          <w:tab w:val="num" w:pos="2345"/>
        </w:tabs>
        <w:ind w:left="2345" w:hanging="360"/>
      </w:pPr>
      <w:rPr>
        <w:rFonts w:ascii="Symbol" w:hAnsi="Symbol" w:hint="default"/>
      </w:rPr>
    </w:lvl>
    <w:lvl w:ilvl="1" w:tplc="29D8B896" w:tentative="1">
      <w:start w:val="1"/>
      <w:numFmt w:val="bullet"/>
      <w:lvlText w:val=""/>
      <w:lvlJc w:val="left"/>
      <w:pPr>
        <w:tabs>
          <w:tab w:val="num" w:pos="3065"/>
        </w:tabs>
        <w:ind w:left="3065" w:hanging="360"/>
      </w:pPr>
      <w:rPr>
        <w:rFonts w:ascii="Symbol" w:hAnsi="Symbol" w:hint="default"/>
      </w:rPr>
    </w:lvl>
    <w:lvl w:ilvl="2" w:tplc="ED60228E" w:tentative="1">
      <w:start w:val="1"/>
      <w:numFmt w:val="bullet"/>
      <w:lvlText w:val=""/>
      <w:lvlJc w:val="left"/>
      <w:pPr>
        <w:tabs>
          <w:tab w:val="num" w:pos="3785"/>
        </w:tabs>
        <w:ind w:left="3785" w:hanging="360"/>
      </w:pPr>
      <w:rPr>
        <w:rFonts w:ascii="Symbol" w:hAnsi="Symbol" w:hint="default"/>
      </w:rPr>
    </w:lvl>
    <w:lvl w:ilvl="3" w:tplc="F3BE4D8A" w:tentative="1">
      <w:start w:val="1"/>
      <w:numFmt w:val="bullet"/>
      <w:lvlText w:val=""/>
      <w:lvlJc w:val="left"/>
      <w:pPr>
        <w:tabs>
          <w:tab w:val="num" w:pos="4505"/>
        </w:tabs>
        <w:ind w:left="4505" w:hanging="360"/>
      </w:pPr>
      <w:rPr>
        <w:rFonts w:ascii="Symbol" w:hAnsi="Symbol" w:hint="default"/>
      </w:rPr>
    </w:lvl>
    <w:lvl w:ilvl="4" w:tplc="1E3A0F78" w:tentative="1">
      <w:start w:val="1"/>
      <w:numFmt w:val="bullet"/>
      <w:lvlText w:val=""/>
      <w:lvlJc w:val="left"/>
      <w:pPr>
        <w:tabs>
          <w:tab w:val="num" w:pos="5225"/>
        </w:tabs>
        <w:ind w:left="5225" w:hanging="360"/>
      </w:pPr>
      <w:rPr>
        <w:rFonts w:ascii="Symbol" w:hAnsi="Symbol" w:hint="default"/>
      </w:rPr>
    </w:lvl>
    <w:lvl w:ilvl="5" w:tplc="D0249B80" w:tentative="1">
      <w:start w:val="1"/>
      <w:numFmt w:val="bullet"/>
      <w:lvlText w:val=""/>
      <w:lvlJc w:val="left"/>
      <w:pPr>
        <w:tabs>
          <w:tab w:val="num" w:pos="5945"/>
        </w:tabs>
        <w:ind w:left="5945" w:hanging="360"/>
      </w:pPr>
      <w:rPr>
        <w:rFonts w:ascii="Symbol" w:hAnsi="Symbol" w:hint="default"/>
      </w:rPr>
    </w:lvl>
    <w:lvl w:ilvl="6" w:tplc="2C842AA0" w:tentative="1">
      <w:start w:val="1"/>
      <w:numFmt w:val="bullet"/>
      <w:lvlText w:val=""/>
      <w:lvlJc w:val="left"/>
      <w:pPr>
        <w:tabs>
          <w:tab w:val="num" w:pos="6665"/>
        </w:tabs>
        <w:ind w:left="6665" w:hanging="360"/>
      </w:pPr>
      <w:rPr>
        <w:rFonts w:ascii="Symbol" w:hAnsi="Symbol" w:hint="default"/>
      </w:rPr>
    </w:lvl>
    <w:lvl w:ilvl="7" w:tplc="AEE28C36" w:tentative="1">
      <w:start w:val="1"/>
      <w:numFmt w:val="bullet"/>
      <w:lvlText w:val=""/>
      <w:lvlJc w:val="left"/>
      <w:pPr>
        <w:tabs>
          <w:tab w:val="num" w:pos="7385"/>
        </w:tabs>
        <w:ind w:left="7385" w:hanging="360"/>
      </w:pPr>
      <w:rPr>
        <w:rFonts w:ascii="Symbol" w:hAnsi="Symbol" w:hint="default"/>
      </w:rPr>
    </w:lvl>
    <w:lvl w:ilvl="8" w:tplc="63460B16" w:tentative="1">
      <w:start w:val="1"/>
      <w:numFmt w:val="bullet"/>
      <w:lvlText w:val=""/>
      <w:lvlJc w:val="left"/>
      <w:pPr>
        <w:tabs>
          <w:tab w:val="num" w:pos="8105"/>
        </w:tabs>
        <w:ind w:left="8105" w:hanging="360"/>
      </w:pPr>
      <w:rPr>
        <w:rFonts w:ascii="Symbol" w:hAnsi="Symbol" w:hint="default"/>
      </w:rPr>
    </w:lvl>
  </w:abstractNum>
  <w:abstractNum w:abstractNumId="13">
    <w:nsid w:val="33546304"/>
    <w:multiLevelType w:val="hybridMultilevel"/>
    <w:tmpl w:val="B6B4A916"/>
    <w:lvl w:ilvl="0" w:tplc="28B2A32C">
      <w:start w:val="1"/>
      <w:numFmt w:val="bullet"/>
      <w:lvlText w:val=""/>
      <w:lvlJc w:val="left"/>
      <w:pPr>
        <w:tabs>
          <w:tab w:val="num" w:pos="340"/>
        </w:tabs>
      </w:pPr>
      <w:rPr>
        <w:rFonts w:ascii="Wingdings 3" w:hAnsi="Wingdings 3" w:hint="default"/>
        <w:b w:val="0"/>
        <w:i w:val="0"/>
        <w:color w:val="FF0000"/>
        <w:spacing w:val="0"/>
        <w:sz w:val="2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126581"/>
    <w:multiLevelType w:val="hybridMultilevel"/>
    <w:tmpl w:val="3EDCEA5C"/>
    <w:lvl w:ilvl="0" w:tplc="723CD9BA">
      <w:start w:val="1"/>
      <w:numFmt w:val="bullet"/>
      <w:lvlText w:val=""/>
      <w:lvlPicBulletId w:val="1"/>
      <w:lvlJc w:val="left"/>
      <w:pPr>
        <w:tabs>
          <w:tab w:val="num" w:pos="720"/>
        </w:tabs>
        <w:ind w:left="720" w:hanging="360"/>
      </w:pPr>
      <w:rPr>
        <w:rFonts w:ascii="Symbol" w:hAnsi="Symbol" w:hint="default"/>
      </w:rPr>
    </w:lvl>
    <w:lvl w:ilvl="1" w:tplc="F08261B2" w:tentative="1">
      <w:start w:val="1"/>
      <w:numFmt w:val="bullet"/>
      <w:lvlText w:val=""/>
      <w:lvlJc w:val="left"/>
      <w:pPr>
        <w:tabs>
          <w:tab w:val="num" w:pos="1440"/>
        </w:tabs>
        <w:ind w:left="1440" w:hanging="360"/>
      </w:pPr>
      <w:rPr>
        <w:rFonts w:ascii="Symbol" w:hAnsi="Symbol" w:hint="default"/>
      </w:rPr>
    </w:lvl>
    <w:lvl w:ilvl="2" w:tplc="6414E90C" w:tentative="1">
      <w:start w:val="1"/>
      <w:numFmt w:val="bullet"/>
      <w:lvlText w:val=""/>
      <w:lvlJc w:val="left"/>
      <w:pPr>
        <w:tabs>
          <w:tab w:val="num" w:pos="2160"/>
        </w:tabs>
        <w:ind w:left="2160" w:hanging="360"/>
      </w:pPr>
      <w:rPr>
        <w:rFonts w:ascii="Symbol" w:hAnsi="Symbol" w:hint="default"/>
      </w:rPr>
    </w:lvl>
    <w:lvl w:ilvl="3" w:tplc="35F41C48" w:tentative="1">
      <w:start w:val="1"/>
      <w:numFmt w:val="bullet"/>
      <w:lvlText w:val=""/>
      <w:lvlJc w:val="left"/>
      <w:pPr>
        <w:tabs>
          <w:tab w:val="num" w:pos="2880"/>
        </w:tabs>
        <w:ind w:left="2880" w:hanging="360"/>
      </w:pPr>
      <w:rPr>
        <w:rFonts w:ascii="Symbol" w:hAnsi="Symbol" w:hint="default"/>
      </w:rPr>
    </w:lvl>
    <w:lvl w:ilvl="4" w:tplc="76DC5C08" w:tentative="1">
      <w:start w:val="1"/>
      <w:numFmt w:val="bullet"/>
      <w:lvlText w:val=""/>
      <w:lvlJc w:val="left"/>
      <w:pPr>
        <w:tabs>
          <w:tab w:val="num" w:pos="3600"/>
        </w:tabs>
        <w:ind w:left="3600" w:hanging="360"/>
      </w:pPr>
      <w:rPr>
        <w:rFonts w:ascii="Symbol" w:hAnsi="Symbol" w:hint="default"/>
      </w:rPr>
    </w:lvl>
    <w:lvl w:ilvl="5" w:tplc="078CC066" w:tentative="1">
      <w:start w:val="1"/>
      <w:numFmt w:val="bullet"/>
      <w:lvlText w:val=""/>
      <w:lvlJc w:val="left"/>
      <w:pPr>
        <w:tabs>
          <w:tab w:val="num" w:pos="4320"/>
        </w:tabs>
        <w:ind w:left="4320" w:hanging="360"/>
      </w:pPr>
      <w:rPr>
        <w:rFonts w:ascii="Symbol" w:hAnsi="Symbol" w:hint="default"/>
      </w:rPr>
    </w:lvl>
    <w:lvl w:ilvl="6" w:tplc="993C39C0" w:tentative="1">
      <w:start w:val="1"/>
      <w:numFmt w:val="bullet"/>
      <w:lvlText w:val=""/>
      <w:lvlJc w:val="left"/>
      <w:pPr>
        <w:tabs>
          <w:tab w:val="num" w:pos="5040"/>
        </w:tabs>
        <w:ind w:left="5040" w:hanging="360"/>
      </w:pPr>
      <w:rPr>
        <w:rFonts w:ascii="Symbol" w:hAnsi="Symbol" w:hint="default"/>
      </w:rPr>
    </w:lvl>
    <w:lvl w:ilvl="7" w:tplc="0EB0D25C" w:tentative="1">
      <w:start w:val="1"/>
      <w:numFmt w:val="bullet"/>
      <w:lvlText w:val=""/>
      <w:lvlJc w:val="left"/>
      <w:pPr>
        <w:tabs>
          <w:tab w:val="num" w:pos="5760"/>
        </w:tabs>
        <w:ind w:left="5760" w:hanging="360"/>
      </w:pPr>
      <w:rPr>
        <w:rFonts w:ascii="Symbol" w:hAnsi="Symbol" w:hint="default"/>
      </w:rPr>
    </w:lvl>
    <w:lvl w:ilvl="8" w:tplc="B874B23E" w:tentative="1">
      <w:start w:val="1"/>
      <w:numFmt w:val="bullet"/>
      <w:lvlText w:val=""/>
      <w:lvlJc w:val="left"/>
      <w:pPr>
        <w:tabs>
          <w:tab w:val="num" w:pos="6480"/>
        </w:tabs>
        <w:ind w:left="6480" w:hanging="360"/>
      </w:pPr>
      <w:rPr>
        <w:rFonts w:ascii="Symbol" w:hAnsi="Symbol" w:hint="default"/>
      </w:rPr>
    </w:lvl>
  </w:abstractNum>
  <w:abstractNum w:abstractNumId="15">
    <w:nsid w:val="3C3E555A"/>
    <w:multiLevelType w:val="hybridMultilevel"/>
    <w:tmpl w:val="81C4A75A"/>
    <w:lvl w:ilvl="0" w:tplc="D0BC4B5C">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6">
    <w:nsid w:val="41272B19"/>
    <w:multiLevelType w:val="hybridMultilevel"/>
    <w:tmpl w:val="844E4E24"/>
    <w:lvl w:ilvl="0" w:tplc="0976745C">
      <w:start w:val="1"/>
      <w:numFmt w:val="lowerLetter"/>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7">
    <w:nsid w:val="415C380C"/>
    <w:multiLevelType w:val="hybridMultilevel"/>
    <w:tmpl w:val="753AA3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4AC4BA3"/>
    <w:multiLevelType w:val="hybridMultilevel"/>
    <w:tmpl w:val="6DF48436"/>
    <w:lvl w:ilvl="0" w:tplc="43F0E4F4">
      <w:start w:val="1"/>
      <w:numFmt w:val="bullet"/>
      <w:lvlText w:val=""/>
      <w:lvlJc w:val="left"/>
      <w:pPr>
        <w:tabs>
          <w:tab w:val="num" w:pos="624"/>
        </w:tabs>
        <w:ind w:left="624" w:hanging="114"/>
      </w:pPr>
      <w:rPr>
        <w:rFonts w:ascii="Symbol" w:hAnsi="Symbol" w:hint="default"/>
        <w:spacing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7641BD"/>
    <w:multiLevelType w:val="hybridMultilevel"/>
    <w:tmpl w:val="6ADE222C"/>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nsid w:val="4C895E9C"/>
    <w:multiLevelType w:val="hybridMultilevel"/>
    <w:tmpl w:val="61881178"/>
    <w:lvl w:ilvl="0" w:tplc="5580A2C8">
      <w:start w:val="1"/>
      <w:numFmt w:val="lowerLetter"/>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21">
    <w:nsid w:val="52677908"/>
    <w:multiLevelType w:val="hybridMultilevel"/>
    <w:tmpl w:val="EAF2F0EA"/>
    <w:lvl w:ilvl="0" w:tplc="7ED63722">
      <w:numFmt w:val="bullet"/>
      <w:lvlText w:val="-"/>
      <w:lvlJc w:val="right"/>
      <w:pPr>
        <w:ind w:left="720" w:hanging="360"/>
      </w:pPr>
      <w:rPr>
        <w:rFonts w:ascii="Arial" w:hAnsi="Arial" w:hint="default"/>
        <w:b/>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E61F8D"/>
    <w:multiLevelType w:val="hybridMultilevel"/>
    <w:tmpl w:val="2E168464"/>
    <w:lvl w:ilvl="0" w:tplc="7AE88D5A">
      <w:start w:val="1"/>
      <w:numFmt w:val="lowerLetter"/>
      <w:lvlText w:val="(%1)"/>
      <w:lvlJc w:val="left"/>
      <w:pPr>
        <w:ind w:left="2174" w:hanging="360"/>
      </w:pPr>
      <w:rPr>
        <w:rFonts w:cs="Times New Roman" w:hint="default"/>
      </w:rPr>
    </w:lvl>
    <w:lvl w:ilvl="1" w:tplc="04100019" w:tentative="1">
      <w:start w:val="1"/>
      <w:numFmt w:val="lowerLetter"/>
      <w:lvlText w:val="%2."/>
      <w:lvlJc w:val="left"/>
      <w:pPr>
        <w:ind w:left="2894" w:hanging="360"/>
      </w:pPr>
      <w:rPr>
        <w:rFonts w:cs="Times New Roman"/>
      </w:rPr>
    </w:lvl>
    <w:lvl w:ilvl="2" w:tplc="0410001B" w:tentative="1">
      <w:start w:val="1"/>
      <w:numFmt w:val="lowerRoman"/>
      <w:lvlText w:val="%3."/>
      <w:lvlJc w:val="right"/>
      <w:pPr>
        <w:ind w:left="3614" w:hanging="180"/>
      </w:pPr>
      <w:rPr>
        <w:rFonts w:cs="Times New Roman"/>
      </w:rPr>
    </w:lvl>
    <w:lvl w:ilvl="3" w:tplc="0410000F" w:tentative="1">
      <w:start w:val="1"/>
      <w:numFmt w:val="decimal"/>
      <w:lvlText w:val="%4."/>
      <w:lvlJc w:val="left"/>
      <w:pPr>
        <w:ind w:left="4334" w:hanging="360"/>
      </w:pPr>
      <w:rPr>
        <w:rFonts w:cs="Times New Roman"/>
      </w:rPr>
    </w:lvl>
    <w:lvl w:ilvl="4" w:tplc="04100019" w:tentative="1">
      <w:start w:val="1"/>
      <w:numFmt w:val="lowerLetter"/>
      <w:lvlText w:val="%5."/>
      <w:lvlJc w:val="left"/>
      <w:pPr>
        <w:ind w:left="5054" w:hanging="360"/>
      </w:pPr>
      <w:rPr>
        <w:rFonts w:cs="Times New Roman"/>
      </w:rPr>
    </w:lvl>
    <w:lvl w:ilvl="5" w:tplc="0410001B" w:tentative="1">
      <w:start w:val="1"/>
      <w:numFmt w:val="lowerRoman"/>
      <w:lvlText w:val="%6."/>
      <w:lvlJc w:val="right"/>
      <w:pPr>
        <w:ind w:left="5774" w:hanging="180"/>
      </w:pPr>
      <w:rPr>
        <w:rFonts w:cs="Times New Roman"/>
      </w:rPr>
    </w:lvl>
    <w:lvl w:ilvl="6" w:tplc="0410000F" w:tentative="1">
      <w:start w:val="1"/>
      <w:numFmt w:val="decimal"/>
      <w:lvlText w:val="%7."/>
      <w:lvlJc w:val="left"/>
      <w:pPr>
        <w:ind w:left="6494" w:hanging="360"/>
      </w:pPr>
      <w:rPr>
        <w:rFonts w:cs="Times New Roman"/>
      </w:rPr>
    </w:lvl>
    <w:lvl w:ilvl="7" w:tplc="04100019" w:tentative="1">
      <w:start w:val="1"/>
      <w:numFmt w:val="lowerLetter"/>
      <w:lvlText w:val="%8."/>
      <w:lvlJc w:val="left"/>
      <w:pPr>
        <w:ind w:left="7214" w:hanging="360"/>
      </w:pPr>
      <w:rPr>
        <w:rFonts w:cs="Times New Roman"/>
      </w:rPr>
    </w:lvl>
    <w:lvl w:ilvl="8" w:tplc="0410001B" w:tentative="1">
      <w:start w:val="1"/>
      <w:numFmt w:val="lowerRoman"/>
      <w:lvlText w:val="%9."/>
      <w:lvlJc w:val="right"/>
      <w:pPr>
        <w:ind w:left="7934" w:hanging="180"/>
      </w:pPr>
      <w:rPr>
        <w:rFonts w:cs="Times New Roman"/>
      </w:rPr>
    </w:lvl>
  </w:abstractNum>
  <w:abstractNum w:abstractNumId="23">
    <w:nsid w:val="5D0563BB"/>
    <w:multiLevelType w:val="hybridMultilevel"/>
    <w:tmpl w:val="88BAB2E4"/>
    <w:lvl w:ilvl="0" w:tplc="4EA8F172">
      <w:start w:val="1"/>
      <w:numFmt w:val="bullet"/>
      <w:lvlText w:val=""/>
      <w:lvlPicBulletId w:val="5"/>
      <w:lvlJc w:val="left"/>
      <w:pPr>
        <w:tabs>
          <w:tab w:val="num" w:pos="720"/>
        </w:tabs>
        <w:ind w:left="720" w:hanging="360"/>
      </w:pPr>
      <w:rPr>
        <w:rFonts w:ascii="Symbol" w:hAnsi="Symbol" w:hint="default"/>
      </w:rPr>
    </w:lvl>
    <w:lvl w:ilvl="1" w:tplc="6D8AD650" w:tentative="1">
      <w:start w:val="1"/>
      <w:numFmt w:val="bullet"/>
      <w:lvlText w:val=""/>
      <w:lvlJc w:val="left"/>
      <w:pPr>
        <w:tabs>
          <w:tab w:val="num" w:pos="1440"/>
        </w:tabs>
        <w:ind w:left="1440" w:hanging="360"/>
      </w:pPr>
      <w:rPr>
        <w:rFonts w:ascii="Symbol" w:hAnsi="Symbol" w:hint="default"/>
      </w:rPr>
    </w:lvl>
    <w:lvl w:ilvl="2" w:tplc="50F2E2F8" w:tentative="1">
      <w:start w:val="1"/>
      <w:numFmt w:val="bullet"/>
      <w:lvlText w:val=""/>
      <w:lvlJc w:val="left"/>
      <w:pPr>
        <w:tabs>
          <w:tab w:val="num" w:pos="2160"/>
        </w:tabs>
        <w:ind w:left="2160" w:hanging="360"/>
      </w:pPr>
      <w:rPr>
        <w:rFonts w:ascii="Symbol" w:hAnsi="Symbol" w:hint="default"/>
      </w:rPr>
    </w:lvl>
    <w:lvl w:ilvl="3" w:tplc="C9929A4C" w:tentative="1">
      <w:start w:val="1"/>
      <w:numFmt w:val="bullet"/>
      <w:lvlText w:val=""/>
      <w:lvlJc w:val="left"/>
      <w:pPr>
        <w:tabs>
          <w:tab w:val="num" w:pos="2880"/>
        </w:tabs>
        <w:ind w:left="2880" w:hanging="360"/>
      </w:pPr>
      <w:rPr>
        <w:rFonts w:ascii="Symbol" w:hAnsi="Symbol" w:hint="default"/>
      </w:rPr>
    </w:lvl>
    <w:lvl w:ilvl="4" w:tplc="EE84E87C" w:tentative="1">
      <w:start w:val="1"/>
      <w:numFmt w:val="bullet"/>
      <w:lvlText w:val=""/>
      <w:lvlJc w:val="left"/>
      <w:pPr>
        <w:tabs>
          <w:tab w:val="num" w:pos="3600"/>
        </w:tabs>
        <w:ind w:left="3600" w:hanging="360"/>
      </w:pPr>
      <w:rPr>
        <w:rFonts w:ascii="Symbol" w:hAnsi="Symbol" w:hint="default"/>
      </w:rPr>
    </w:lvl>
    <w:lvl w:ilvl="5" w:tplc="82D6C278" w:tentative="1">
      <w:start w:val="1"/>
      <w:numFmt w:val="bullet"/>
      <w:lvlText w:val=""/>
      <w:lvlJc w:val="left"/>
      <w:pPr>
        <w:tabs>
          <w:tab w:val="num" w:pos="4320"/>
        </w:tabs>
        <w:ind w:left="4320" w:hanging="360"/>
      </w:pPr>
      <w:rPr>
        <w:rFonts w:ascii="Symbol" w:hAnsi="Symbol" w:hint="default"/>
      </w:rPr>
    </w:lvl>
    <w:lvl w:ilvl="6" w:tplc="FE908880" w:tentative="1">
      <w:start w:val="1"/>
      <w:numFmt w:val="bullet"/>
      <w:lvlText w:val=""/>
      <w:lvlJc w:val="left"/>
      <w:pPr>
        <w:tabs>
          <w:tab w:val="num" w:pos="5040"/>
        </w:tabs>
        <w:ind w:left="5040" w:hanging="360"/>
      </w:pPr>
      <w:rPr>
        <w:rFonts w:ascii="Symbol" w:hAnsi="Symbol" w:hint="default"/>
      </w:rPr>
    </w:lvl>
    <w:lvl w:ilvl="7" w:tplc="252426D4" w:tentative="1">
      <w:start w:val="1"/>
      <w:numFmt w:val="bullet"/>
      <w:lvlText w:val=""/>
      <w:lvlJc w:val="left"/>
      <w:pPr>
        <w:tabs>
          <w:tab w:val="num" w:pos="5760"/>
        </w:tabs>
        <w:ind w:left="5760" w:hanging="360"/>
      </w:pPr>
      <w:rPr>
        <w:rFonts w:ascii="Symbol" w:hAnsi="Symbol" w:hint="default"/>
      </w:rPr>
    </w:lvl>
    <w:lvl w:ilvl="8" w:tplc="07222414" w:tentative="1">
      <w:start w:val="1"/>
      <w:numFmt w:val="bullet"/>
      <w:lvlText w:val=""/>
      <w:lvlJc w:val="left"/>
      <w:pPr>
        <w:tabs>
          <w:tab w:val="num" w:pos="6480"/>
        </w:tabs>
        <w:ind w:left="6480" w:hanging="360"/>
      </w:pPr>
      <w:rPr>
        <w:rFonts w:ascii="Symbol" w:hAnsi="Symbol" w:hint="default"/>
      </w:rPr>
    </w:lvl>
  </w:abstractNum>
  <w:abstractNum w:abstractNumId="24">
    <w:nsid w:val="682E6976"/>
    <w:multiLevelType w:val="hybridMultilevel"/>
    <w:tmpl w:val="22BE1E50"/>
    <w:lvl w:ilvl="0" w:tplc="3498F24E">
      <w:start w:val="1"/>
      <w:numFmt w:val="bullet"/>
      <w:lvlText w:val=""/>
      <w:lvlPicBulletId w:val="1"/>
      <w:lvlJc w:val="left"/>
      <w:pPr>
        <w:tabs>
          <w:tab w:val="num" w:pos="720"/>
        </w:tabs>
        <w:ind w:left="720" w:hanging="360"/>
      </w:pPr>
      <w:rPr>
        <w:rFonts w:ascii="Symbol" w:hAnsi="Symbol" w:hint="default"/>
      </w:rPr>
    </w:lvl>
    <w:lvl w:ilvl="1" w:tplc="445E2BAE" w:tentative="1">
      <w:start w:val="1"/>
      <w:numFmt w:val="bullet"/>
      <w:lvlText w:val=""/>
      <w:lvlJc w:val="left"/>
      <w:pPr>
        <w:tabs>
          <w:tab w:val="num" w:pos="1440"/>
        </w:tabs>
        <w:ind w:left="1440" w:hanging="360"/>
      </w:pPr>
      <w:rPr>
        <w:rFonts w:ascii="Symbol" w:hAnsi="Symbol" w:hint="default"/>
      </w:rPr>
    </w:lvl>
    <w:lvl w:ilvl="2" w:tplc="15B4E642" w:tentative="1">
      <w:start w:val="1"/>
      <w:numFmt w:val="bullet"/>
      <w:lvlText w:val=""/>
      <w:lvlJc w:val="left"/>
      <w:pPr>
        <w:tabs>
          <w:tab w:val="num" w:pos="2160"/>
        </w:tabs>
        <w:ind w:left="2160" w:hanging="360"/>
      </w:pPr>
      <w:rPr>
        <w:rFonts w:ascii="Symbol" w:hAnsi="Symbol" w:hint="default"/>
      </w:rPr>
    </w:lvl>
    <w:lvl w:ilvl="3" w:tplc="05525BD0" w:tentative="1">
      <w:start w:val="1"/>
      <w:numFmt w:val="bullet"/>
      <w:lvlText w:val=""/>
      <w:lvlJc w:val="left"/>
      <w:pPr>
        <w:tabs>
          <w:tab w:val="num" w:pos="2880"/>
        </w:tabs>
        <w:ind w:left="2880" w:hanging="360"/>
      </w:pPr>
      <w:rPr>
        <w:rFonts w:ascii="Symbol" w:hAnsi="Symbol" w:hint="default"/>
      </w:rPr>
    </w:lvl>
    <w:lvl w:ilvl="4" w:tplc="961AD928" w:tentative="1">
      <w:start w:val="1"/>
      <w:numFmt w:val="bullet"/>
      <w:lvlText w:val=""/>
      <w:lvlJc w:val="left"/>
      <w:pPr>
        <w:tabs>
          <w:tab w:val="num" w:pos="3600"/>
        </w:tabs>
        <w:ind w:left="3600" w:hanging="360"/>
      </w:pPr>
      <w:rPr>
        <w:rFonts w:ascii="Symbol" w:hAnsi="Symbol" w:hint="default"/>
      </w:rPr>
    </w:lvl>
    <w:lvl w:ilvl="5" w:tplc="50C4BEE8" w:tentative="1">
      <w:start w:val="1"/>
      <w:numFmt w:val="bullet"/>
      <w:lvlText w:val=""/>
      <w:lvlJc w:val="left"/>
      <w:pPr>
        <w:tabs>
          <w:tab w:val="num" w:pos="4320"/>
        </w:tabs>
        <w:ind w:left="4320" w:hanging="360"/>
      </w:pPr>
      <w:rPr>
        <w:rFonts w:ascii="Symbol" w:hAnsi="Symbol" w:hint="default"/>
      </w:rPr>
    </w:lvl>
    <w:lvl w:ilvl="6" w:tplc="67EEA760" w:tentative="1">
      <w:start w:val="1"/>
      <w:numFmt w:val="bullet"/>
      <w:lvlText w:val=""/>
      <w:lvlJc w:val="left"/>
      <w:pPr>
        <w:tabs>
          <w:tab w:val="num" w:pos="5040"/>
        </w:tabs>
        <w:ind w:left="5040" w:hanging="360"/>
      </w:pPr>
      <w:rPr>
        <w:rFonts w:ascii="Symbol" w:hAnsi="Symbol" w:hint="default"/>
      </w:rPr>
    </w:lvl>
    <w:lvl w:ilvl="7" w:tplc="83B07C42" w:tentative="1">
      <w:start w:val="1"/>
      <w:numFmt w:val="bullet"/>
      <w:lvlText w:val=""/>
      <w:lvlJc w:val="left"/>
      <w:pPr>
        <w:tabs>
          <w:tab w:val="num" w:pos="5760"/>
        </w:tabs>
        <w:ind w:left="5760" w:hanging="360"/>
      </w:pPr>
      <w:rPr>
        <w:rFonts w:ascii="Symbol" w:hAnsi="Symbol" w:hint="default"/>
      </w:rPr>
    </w:lvl>
    <w:lvl w:ilvl="8" w:tplc="5CD86366" w:tentative="1">
      <w:start w:val="1"/>
      <w:numFmt w:val="bullet"/>
      <w:lvlText w:val=""/>
      <w:lvlJc w:val="left"/>
      <w:pPr>
        <w:tabs>
          <w:tab w:val="num" w:pos="6480"/>
        </w:tabs>
        <w:ind w:left="6480" w:hanging="360"/>
      </w:pPr>
      <w:rPr>
        <w:rFonts w:ascii="Symbol" w:hAnsi="Symbol" w:hint="default"/>
      </w:rPr>
    </w:lvl>
  </w:abstractNum>
  <w:abstractNum w:abstractNumId="25">
    <w:nsid w:val="6A13176F"/>
    <w:multiLevelType w:val="hybridMultilevel"/>
    <w:tmpl w:val="5132648C"/>
    <w:lvl w:ilvl="0" w:tplc="7ED63722">
      <w:numFmt w:val="bullet"/>
      <w:lvlText w:val="-"/>
      <w:lvlJc w:val="right"/>
      <w:pPr>
        <w:ind w:left="2563" w:hanging="360"/>
      </w:pPr>
      <w:rPr>
        <w:rFonts w:ascii="Arial" w:hAnsi="Arial" w:hint="default"/>
        <w:b/>
        <w:i w:val="0"/>
        <w:color w:val="auto"/>
        <w:sz w:val="20"/>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nsid w:val="6AD7027A"/>
    <w:multiLevelType w:val="hybridMultilevel"/>
    <w:tmpl w:val="41B632CC"/>
    <w:lvl w:ilvl="0" w:tplc="7ED63722">
      <w:numFmt w:val="bullet"/>
      <w:lvlText w:val="-"/>
      <w:lvlJc w:val="right"/>
      <w:pPr>
        <w:ind w:left="720" w:hanging="360"/>
      </w:pPr>
      <w:rPr>
        <w:rFonts w:ascii="Arial" w:hAnsi="Arial" w:hint="default"/>
        <w:b/>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A3BDA"/>
    <w:multiLevelType w:val="hybridMultilevel"/>
    <w:tmpl w:val="9356D342"/>
    <w:lvl w:ilvl="0" w:tplc="AC9C5258">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8">
    <w:nsid w:val="6C75249D"/>
    <w:multiLevelType w:val="hybridMultilevel"/>
    <w:tmpl w:val="BE901494"/>
    <w:lvl w:ilvl="0" w:tplc="B9BA9972">
      <w:start w:val="1"/>
      <w:numFmt w:val="bullet"/>
      <w:lvlText w:val=""/>
      <w:lvlPicBulletId w:val="1"/>
      <w:lvlJc w:val="left"/>
      <w:pPr>
        <w:tabs>
          <w:tab w:val="num" w:pos="720"/>
        </w:tabs>
        <w:ind w:left="720" w:hanging="360"/>
      </w:pPr>
      <w:rPr>
        <w:rFonts w:ascii="Symbol" w:hAnsi="Symbol" w:hint="default"/>
      </w:rPr>
    </w:lvl>
    <w:lvl w:ilvl="1" w:tplc="50F076AC" w:tentative="1">
      <w:start w:val="1"/>
      <w:numFmt w:val="bullet"/>
      <w:lvlText w:val=""/>
      <w:lvlJc w:val="left"/>
      <w:pPr>
        <w:tabs>
          <w:tab w:val="num" w:pos="1440"/>
        </w:tabs>
        <w:ind w:left="1440" w:hanging="360"/>
      </w:pPr>
      <w:rPr>
        <w:rFonts w:ascii="Symbol" w:hAnsi="Symbol" w:hint="default"/>
      </w:rPr>
    </w:lvl>
    <w:lvl w:ilvl="2" w:tplc="3A6EF5A0" w:tentative="1">
      <w:start w:val="1"/>
      <w:numFmt w:val="bullet"/>
      <w:lvlText w:val=""/>
      <w:lvlJc w:val="left"/>
      <w:pPr>
        <w:tabs>
          <w:tab w:val="num" w:pos="2160"/>
        </w:tabs>
        <w:ind w:left="2160" w:hanging="360"/>
      </w:pPr>
      <w:rPr>
        <w:rFonts w:ascii="Symbol" w:hAnsi="Symbol" w:hint="default"/>
      </w:rPr>
    </w:lvl>
    <w:lvl w:ilvl="3" w:tplc="B680E472" w:tentative="1">
      <w:start w:val="1"/>
      <w:numFmt w:val="bullet"/>
      <w:lvlText w:val=""/>
      <w:lvlJc w:val="left"/>
      <w:pPr>
        <w:tabs>
          <w:tab w:val="num" w:pos="2880"/>
        </w:tabs>
        <w:ind w:left="2880" w:hanging="360"/>
      </w:pPr>
      <w:rPr>
        <w:rFonts w:ascii="Symbol" w:hAnsi="Symbol" w:hint="default"/>
      </w:rPr>
    </w:lvl>
    <w:lvl w:ilvl="4" w:tplc="78585DE8" w:tentative="1">
      <w:start w:val="1"/>
      <w:numFmt w:val="bullet"/>
      <w:lvlText w:val=""/>
      <w:lvlJc w:val="left"/>
      <w:pPr>
        <w:tabs>
          <w:tab w:val="num" w:pos="3600"/>
        </w:tabs>
        <w:ind w:left="3600" w:hanging="360"/>
      </w:pPr>
      <w:rPr>
        <w:rFonts w:ascii="Symbol" w:hAnsi="Symbol" w:hint="default"/>
      </w:rPr>
    </w:lvl>
    <w:lvl w:ilvl="5" w:tplc="EAF2EA58" w:tentative="1">
      <w:start w:val="1"/>
      <w:numFmt w:val="bullet"/>
      <w:lvlText w:val=""/>
      <w:lvlJc w:val="left"/>
      <w:pPr>
        <w:tabs>
          <w:tab w:val="num" w:pos="4320"/>
        </w:tabs>
        <w:ind w:left="4320" w:hanging="360"/>
      </w:pPr>
      <w:rPr>
        <w:rFonts w:ascii="Symbol" w:hAnsi="Symbol" w:hint="default"/>
      </w:rPr>
    </w:lvl>
    <w:lvl w:ilvl="6" w:tplc="F35A57B2" w:tentative="1">
      <w:start w:val="1"/>
      <w:numFmt w:val="bullet"/>
      <w:lvlText w:val=""/>
      <w:lvlJc w:val="left"/>
      <w:pPr>
        <w:tabs>
          <w:tab w:val="num" w:pos="5040"/>
        </w:tabs>
        <w:ind w:left="5040" w:hanging="360"/>
      </w:pPr>
      <w:rPr>
        <w:rFonts w:ascii="Symbol" w:hAnsi="Symbol" w:hint="default"/>
      </w:rPr>
    </w:lvl>
    <w:lvl w:ilvl="7" w:tplc="DA4E6880" w:tentative="1">
      <w:start w:val="1"/>
      <w:numFmt w:val="bullet"/>
      <w:lvlText w:val=""/>
      <w:lvlJc w:val="left"/>
      <w:pPr>
        <w:tabs>
          <w:tab w:val="num" w:pos="5760"/>
        </w:tabs>
        <w:ind w:left="5760" w:hanging="360"/>
      </w:pPr>
      <w:rPr>
        <w:rFonts w:ascii="Symbol" w:hAnsi="Symbol" w:hint="default"/>
      </w:rPr>
    </w:lvl>
    <w:lvl w:ilvl="8" w:tplc="849CD81A" w:tentative="1">
      <w:start w:val="1"/>
      <w:numFmt w:val="bullet"/>
      <w:lvlText w:val=""/>
      <w:lvlJc w:val="left"/>
      <w:pPr>
        <w:tabs>
          <w:tab w:val="num" w:pos="6480"/>
        </w:tabs>
        <w:ind w:left="6480" w:hanging="360"/>
      </w:pPr>
      <w:rPr>
        <w:rFonts w:ascii="Symbol" w:hAnsi="Symbol" w:hint="default"/>
      </w:rPr>
    </w:lvl>
  </w:abstractNum>
  <w:abstractNum w:abstractNumId="29">
    <w:nsid w:val="6DFA5995"/>
    <w:multiLevelType w:val="hybridMultilevel"/>
    <w:tmpl w:val="046C127C"/>
    <w:lvl w:ilvl="0" w:tplc="A3849A40">
      <w:start w:val="1"/>
      <w:numFmt w:val="bullet"/>
      <w:lvlText w:val=""/>
      <w:lvlPicBulletId w:val="0"/>
      <w:lvlJc w:val="left"/>
      <w:pPr>
        <w:tabs>
          <w:tab w:val="num" w:pos="720"/>
        </w:tabs>
        <w:ind w:left="720" w:hanging="360"/>
      </w:pPr>
      <w:rPr>
        <w:rFonts w:ascii="Symbol" w:hAnsi="Symbol" w:hint="default"/>
      </w:rPr>
    </w:lvl>
    <w:lvl w:ilvl="1" w:tplc="1CBA81C4" w:tentative="1">
      <w:start w:val="1"/>
      <w:numFmt w:val="bullet"/>
      <w:lvlText w:val=""/>
      <w:lvlJc w:val="left"/>
      <w:pPr>
        <w:tabs>
          <w:tab w:val="num" w:pos="1440"/>
        </w:tabs>
        <w:ind w:left="1440" w:hanging="360"/>
      </w:pPr>
      <w:rPr>
        <w:rFonts w:ascii="Symbol" w:hAnsi="Symbol" w:hint="default"/>
      </w:rPr>
    </w:lvl>
    <w:lvl w:ilvl="2" w:tplc="A80091AA" w:tentative="1">
      <w:start w:val="1"/>
      <w:numFmt w:val="bullet"/>
      <w:lvlText w:val=""/>
      <w:lvlJc w:val="left"/>
      <w:pPr>
        <w:tabs>
          <w:tab w:val="num" w:pos="2160"/>
        </w:tabs>
        <w:ind w:left="2160" w:hanging="360"/>
      </w:pPr>
      <w:rPr>
        <w:rFonts w:ascii="Symbol" w:hAnsi="Symbol" w:hint="default"/>
      </w:rPr>
    </w:lvl>
    <w:lvl w:ilvl="3" w:tplc="C3D2FC5A" w:tentative="1">
      <w:start w:val="1"/>
      <w:numFmt w:val="bullet"/>
      <w:lvlText w:val=""/>
      <w:lvlJc w:val="left"/>
      <w:pPr>
        <w:tabs>
          <w:tab w:val="num" w:pos="2880"/>
        </w:tabs>
        <w:ind w:left="2880" w:hanging="360"/>
      </w:pPr>
      <w:rPr>
        <w:rFonts w:ascii="Symbol" w:hAnsi="Symbol" w:hint="default"/>
      </w:rPr>
    </w:lvl>
    <w:lvl w:ilvl="4" w:tplc="98823ECA" w:tentative="1">
      <w:start w:val="1"/>
      <w:numFmt w:val="bullet"/>
      <w:lvlText w:val=""/>
      <w:lvlJc w:val="left"/>
      <w:pPr>
        <w:tabs>
          <w:tab w:val="num" w:pos="3600"/>
        </w:tabs>
        <w:ind w:left="3600" w:hanging="360"/>
      </w:pPr>
      <w:rPr>
        <w:rFonts w:ascii="Symbol" w:hAnsi="Symbol" w:hint="default"/>
      </w:rPr>
    </w:lvl>
    <w:lvl w:ilvl="5" w:tplc="4B36EFCA" w:tentative="1">
      <w:start w:val="1"/>
      <w:numFmt w:val="bullet"/>
      <w:lvlText w:val=""/>
      <w:lvlJc w:val="left"/>
      <w:pPr>
        <w:tabs>
          <w:tab w:val="num" w:pos="4320"/>
        </w:tabs>
        <w:ind w:left="4320" w:hanging="360"/>
      </w:pPr>
      <w:rPr>
        <w:rFonts w:ascii="Symbol" w:hAnsi="Symbol" w:hint="default"/>
      </w:rPr>
    </w:lvl>
    <w:lvl w:ilvl="6" w:tplc="D7E85C54" w:tentative="1">
      <w:start w:val="1"/>
      <w:numFmt w:val="bullet"/>
      <w:lvlText w:val=""/>
      <w:lvlJc w:val="left"/>
      <w:pPr>
        <w:tabs>
          <w:tab w:val="num" w:pos="5040"/>
        </w:tabs>
        <w:ind w:left="5040" w:hanging="360"/>
      </w:pPr>
      <w:rPr>
        <w:rFonts w:ascii="Symbol" w:hAnsi="Symbol" w:hint="default"/>
      </w:rPr>
    </w:lvl>
    <w:lvl w:ilvl="7" w:tplc="8FA08E0A" w:tentative="1">
      <w:start w:val="1"/>
      <w:numFmt w:val="bullet"/>
      <w:lvlText w:val=""/>
      <w:lvlJc w:val="left"/>
      <w:pPr>
        <w:tabs>
          <w:tab w:val="num" w:pos="5760"/>
        </w:tabs>
        <w:ind w:left="5760" w:hanging="360"/>
      </w:pPr>
      <w:rPr>
        <w:rFonts w:ascii="Symbol" w:hAnsi="Symbol" w:hint="default"/>
      </w:rPr>
    </w:lvl>
    <w:lvl w:ilvl="8" w:tplc="891ECA78" w:tentative="1">
      <w:start w:val="1"/>
      <w:numFmt w:val="bullet"/>
      <w:lvlText w:val=""/>
      <w:lvlJc w:val="left"/>
      <w:pPr>
        <w:tabs>
          <w:tab w:val="num" w:pos="6480"/>
        </w:tabs>
        <w:ind w:left="6480" w:hanging="360"/>
      </w:pPr>
      <w:rPr>
        <w:rFonts w:ascii="Symbol" w:hAnsi="Symbol" w:hint="default"/>
      </w:rPr>
    </w:lvl>
  </w:abstractNum>
  <w:abstractNum w:abstractNumId="30">
    <w:nsid w:val="6E5B788E"/>
    <w:multiLevelType w:val="hybridMultilevel"/>
    <w:tmpl w:val="5BBA4E62"/>
    <w:lvl w:ilvl="0" w:tplc="86481586">
      <w:start w:val="1"/>
      <w:numFmt w:val="bullet"/>
      <w:lvlText w:val=""/>
      <w:lvlPicBulletId w:val="1"/>
      <w:lvlJc w:val="left"/>
      <w:pPr>
        <w:tabs>
          <w:tab w:val="num" w:pos="720"/>
        </w:tabs>
        <w:ind w:left="720" w:hanging="360"/>
      </w:pPr>
      <w:rPr>
        <w:rFonts w:ascii="Symbol" w:hAnsi="Symbol" w:hint="default"/>
      </w:rPr>
    </w:lvl>
    <w:lvl w:ilvl="1" w:tplc="3D5EB442" w:tentative="1">
      <w:start w:val="1"/>
      <w:numFmt w:val="bullet"/>
      <w:lvlText w:val=""/>
      <w:lvlJc w:val="left"/>
      <w:pPr>
        <w:tabs>
          <w:tab w:val="num" w:pos="1440"/>
        </w:tabs>
        <w:ind w:left="1440" w:hanging="360"/>
      </w:pPr>
      <w:rPr>
        <w:rFonts w:ascii="Symbol" w:hAnsi="Symbol" w:hint="default"/>
      </w:rPr>
    </w:lvl>
    <w:lvl w:ilvl="2" w:tplc="F13E9D12" w:tentative="1">
      <w:start w:val="1"/>
      <w:numFmt w:val="bullet"/>
      <w:lvlText w:val=""/>
      <w:lvlJc w:val="left"/>
      <w:pPr>
        <w:tabs>
          <w:tab w:val="num" w:pos="2160"/>
        </w:tabs>
        <w:ind w:left="2160" w:hanging="360"/>
      </w:pPr>
      <w:rPr>
        <w:rFonts w:ascii="Symbol" w:hAnsi="Symbol" w:hint="default"/>
      </w:rPr>
    </w:lvl>
    <w:lvl w:ilvl="3" w:tplc="471A085A" w:tentative="1">
      <w:start w:val="1"/>
      <w:numFmt w:val="bullet"/>
      <w:lvlText w:val=""/>
      <w:lvlJc w:val="left"/>
      <w:pPr>
        <w:tabs>
          <w:tab w:val="num" w:pos="2880"/>
        </w:tabs>
        <w:ind w:left="2880" w:hanging="360"/>
      </w:pPr>
      <w:rPr>
        <w:rFonts w:ascii="Symbol" w:hAnsi="Symbol" w:hint="default"/>
      </w:rPr>
    </w:lvl>
    <w:lvl w:ilvl="4" w:tplc="BC84B16E" w:tentative="1">
      <w:start w:val="1"/>
      <w:numFmt w:val="bullet"/>
      <w:lvlText w:val=""/>
      <w:lvlJc w:val="left"/>
      <w:pPr>
        <w:tabs>
          <w:tab w:val="num" w:pos="3600"/>
        </w:tabs>
        <w:ind w:left="3600" w:hanging="360"/>
      </w:pPr>
      <w:rPr>
        <w:rFonts w:ascii="Symbol" w:hAnsi="Symbol" w:hint="default"/>
      </w:rPr>
    </w:lvl>
    <w:lvl w:ilvl="5" w:tplc="43765538" w:tentative="1">
      <w:start w:val="1"/>
      <w:numFmt w:val="bullet"/>
      <w:lvlText w:val=""/>
      <w:lvlJc w:val="left"/>
      <w:pPr>
        <w:tabs>
          <w:tab w:val="num" w:pos="4320"/>
        </w:tabs>
        <w:ind w:left="4320" w:hanging="360"/>
      </w:pPr>
      <w:rPr>
        <w:rFonts w:ascii="Symbol" w:hAnsi="Symbol" w:hint="default"/>
      </w:rPr>
    </w:lvl>
    <w:lvl w:ilvl="6" w:tplc="B1966564" w:tentative="1">
      <w:start w:val="1"/>
      <w:numFmt w:val="bullet"/>
      <w:lvlText w:val=""/>
      <w:lvlJc w:val="left"/>
      <w:pPr>
        <w:tabs>
          <w:tab w:val="num" w:pos="5040"/>
        </w:tabs>
        <w:ind w:left="5040" w:hanging="360"/>
      </w:pPr>
      <w:rPr>
        <w:rFonts w:ascii="Symbol" w:hAnsi="Symbol" w:hint="default"/>
      </w:rPr>
    </w:lvl>
    <w:lvl w:ilvl="7" w:tplc="13C86854" w:tentative="1">
      <w:start w:val="1"/>
      <w:numFmt w:val="bullet"/>
      <w:lvlText w:val=""/>
      <w:lvlJc w:val="left"/>
      <w:pPr>
        <w:tabs>
          <w:tab w:val="num" w:pos="5760"/>
        </w:tabs>
        <w:ind w:left="5760" w:hanging="360"/>
      </w:pPr>
      <w:rPr>
        <w:rFonts w:ascii="Symbol" w:hAnsi="Symbol" w:hint="default"/>
      </w:rPr>
    </w:lvl>
    <w:lvl w:ilvl="8" w:tplc="D38C26CC" w:tentative="1">
      <w:start w:val="1"/>
      <w:numFmt w:val="bullet"/>
      <w:lvlText w:val=""/>
      <w:lvlJc w:val="left"/>
      <w:pPr>
        <w:tabs>
          <w:tab w:val="num" w:pos="6480"/>
        </w:tabs>
        <w:ind w:left="6480" w:hanging="360"/>
      </w:pPr>
      <w:rPr>
        <w:rFonts w:ascii="Symbol" w:hAnsi="Symbol" w:hint="default"/>
      </w:rPr>
    </w:lvl>
  </w:abstractNum>
  <w:abstractNum w:abstractNumId="31">
    <w:nsid w:val="713C581A"/>
    <w:multiLevelType w:val="hybridMultilevel"/>
    <w:tmpl w:val="53A44DD4"/>
    <w:lvl w:ilvl="0" w:tplc="905E0B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751628"/>
    <w:multiLevelType w:val="hybridMultilevel"/>
    <w:tmpl w:val="2AF43ED6"/>
    <w:lvl w:ilvl="0" w:tplc="E3C6D5B6">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33">
    <w:nsid w:val="74982E96"/>
    <w:multiLevelType w:val="hybridMultilevel"/>
    <w:tmpl w:val="74A8E9A8"/>
    <w:lvl w:ilvl="0" w:tplc="B2FE55E2">
      <w:start w:val="1"/>
      <w:numFmt w:val="bullet"/>
      <w:lvlText w:val=""/>
      <w:lvlPicBulletId w:val="1"/>
      <w:lvlJc w:val="left"/>
      <w:pPr>
        <w:tabs>
          <w:tab w:val="num" w:pos="2629"/>
        </w:tabs>
        <w:ind w:left="2629" w:hanging="360"/>
      </w:pPr>
      <w:rPr>
        <w:rFonts w:ascii="Symbol" w:hAnsi="Symbol" w:hint="default"/>
        <w:color w:val="FF0000"/>
      </w:rPr>
    </w:lvl>
    <w:lvl w:ilvl="1" w:tplc="118C6ADC" w:tentative="1">
      <w:start w:val="1"/>
      <w:numFmt w:val="bullet"/>
      <w:lvlText w:val=""/>
      <w:lvlJc w:val="left"/>
      <w:pPr>
        <w:tabs>
          <w:tab w:val="num" w:pos="1440"/>
        </w:tabs>
        <w:ind w:left="1440" w:hanging="360"/>
      </w:pPr>
      <w:rPr>
        <w:rFonts w:ascii="Symbol" w:hAnsi="Symbol" w:hint="default"/>
      </w:rPr>
    </w:lvl>
    <w:lvl w:ilvl="2" w:tplc="13225CF6" w:tentative="1">
      <w:start w:val="1"/>
      <w:numFmt w:val="bullet"/>
      <w:lvlText w:val=""/>
      <w:lvlJc w:val="left"/>
      <w:pPr>
        <w:tabs>
          <w:tab w:val="num" w:pos="2160"/>
        </w:tabs>
        <w:ind w:left="2160" w:hanging="360"/>
      </w:pPr>
      <w:rPr>
        <w:rFonts w:ascii="Symbol" w:hAnsi="Symbol" w:hint="default"/>
      </w:rPr>
    </w:lvl>
    <w:lvl w:ilvl="3" w:tplc="D5920394" w:tentative="1">
      <w:start w:val="1"/>
      <w:numFmt w:val="bullet"/>
      <w:lvlText w:val=""/>
      <w:lvlJc w:val="left"/>
      <w:pPr>
        <w:tabs>
          <w:tab w:val="num" w:pos="2880"/>
        </w:tabs>
        <w:ind w:left="2880" w:hanging="360"/>
      </w:pPr>
      <w:rPr>
        <w:rFonts w:ascii="Symbol" w:hAnsi="Symbol" w:hint="default"/>
      </w:rPr>
    </w:lvl>
    <w:lvl w:ilvl="4" w:tplc="9A10086C" w:tentative="1">
      <w:start w:val="1"/>
      <w:numFmt w:val="bullet"/>
      <w:lvlText w:val=""/>
      <w:lvlJc w:val="left"/>
      <w:pPr>
        <w:tabs>
          <w:tab w:val="num" w:pos="3600"/>
        </w:tabs>
        <w:ind w:left="3600" w:hanging="360"/>
      </w:pPr>
      <w:rPr>
        <w:rFonts w:ascii="Symbol" w:hAnsi="Symbol" w:hint="default"/>
      </w:rPr>
    </w:lvl>
    <w:lvl w:ilvl="5" w:tplc="83A0EF68" w:tentative="1">
      <w:start w:val="1"/>
      <w:numFmt w:val="bullet"/>
      <w:lvlText w:val=""/>
      <w:lvlJc w:val="left"/>
      <w:pPr>
        <w:tabs>
          <w:tab w:val="num" w:pos="4320"/>
        </w:tabs>
        <w:ind w:left="4320" w:hanging="360"/>
      </w:pPr>
      <w:rPr>
        <w:rFonts w:ascii="Symbol" w:hAnsi="Symbol" w:hint="default"/>
      </w:rPr>
    </w:lvl>
    <w:lvl w:ilvl="6" w:tplc="30104984" w:tentative="1">
      <w:start w:val="1"/>
      <w:numFmt w:val="bullet"/>
      <w:lvlText w:val=""/>
      <w:lvlJc w:val="left"/>
      <w:pPr>
        <w:tabs>
          <w:tab w:val="num" w:pos="5040"/>
        </w:tabs>
        <w:ind w:left="5040" w:hanging="360"/>
      </w:pPr>
      <w:rPr>
        <w:rFonts w:ascii="Symbol" w:hAnsi="Symbol" w:hint="default"/>
      </w:rPr>
    </w:lvl>
    <w:lvl w:ilvl="7" w:tplc="CA7A5608" w:tentative="1">
      <w:start w:val="1"/>
      <w:numFmt w:val="bullet"/>
      <w:lvlText w:val=""/>
      <w:lvlJc w:val="left"/>
      <w:pPr>
        <w:tabs>
          <w:tab w:val="num" w:pos="5760"/>
        </w:tabs>
        <w:ind w:left="5760" w:hanging="360"/>
      </w:pPr>
      <w:rPr>
        <w:rFonts w:ascii="Symbol" w:hAnsi="Symbol" w:hint="default"/>
      </w:rPr>
    </w:lvl>
    <w:lvl w:ilvl="8" w:tplc="D0A85648" w:tentative="1">
      <w:start w:val="1"/>
      <w:numFmt w:val="bullet"/>
      <w:lvlText w:val=""/>
      <w:lvlJc w:val="left"/>
      <w:pPr>
        <w:tabs>
          <w:tab w:val="num" w:pos="6480"/>
        </w:tabs>
        <w:ind w:left="6480" w:hanging="360"/>
      </w:pPr>
      <w:rPr>
        <w:rFonts w:ascii="Symbol" w:hAnsi="Symbol" w:hint="default"/>
      </w:rPr>
    </w:lvl>
  </w:abstractNum>
  <w:abstractNum w:abstractNumId="34">
    <w:nsid w:val="7B443D51"/>
    <w:multiLevelType w:val="hybridMultilevel"/>
    <w:tmpl w:val="C74A1082"/>
    <w:lvl w:ilvl="0" w:tplc="A9525290">
      <w:start w:val="1"/>
      <w:numFmt w:val="lowerLetter"/>
      <w:lvlText w:val="(%1)"/>
      <w:lvlJc w:val="left"/>
      <w:pPr>
        <w:tabs>
          <w:tab w:val="num" w:pos="2203"/>
        </w:tabs>
        <w:ind w:left="2203" w:hanging="360"/>
      </w:pPr>
      <w:rPr>
        <w:rFonts w:cs="Times New Roman" w:hint="default"/>
      </w:rPr>
    </w:lvl>
    <w:lvl w:ilvl="1" w:tplc="04100019" w:tentative="1">
      <w:start w:val="1"/>
      <w:numFmt w:val="lowerLetter"/>
      <w:lvlText w:val="%2."/>
      <w:lvlJc w:val="left"/>
      <w:pPr>
        <w:tabs>
          <w:tab w:val="num" w:pos="2923"/>
        </w:tabs>
        <w:ind w:left="2923" w:hanging="360"/>
      </w:pPr>
      <w:rPr>
        <w:rFonts w:cs="Times New Roman"/>
      </w:rPr>
    </w:lvl>
    <w:lvl w:ilvl="2" w:tplc="0410001B" w:tentative="1">
      <w:start w:val="1"/>
      <w:numFmt w:val="lowerRoman"/>
      <w:lvlText w:val="%3."/>
      <w:lvlJc w:val="right"/>
      <w:pPr>
        <w:tabs>
          <w:tab w:val="num" w:pos="3643"/>
        </w:tabs>
        <w:ind w:left="3643" w:hanging="180"/>
      </w:pPr>
      <w:rPr>
        <w:rFonts w:cs="Times New Roman"/>
      </w:rPr>
    </w:lvl>
    <w:lvl w:ilvl="3" w:tplc="0410000F" w:tentative="1">
      <w:start w:val="1"/>
      <w:numFmt w:val="decimal"/>
      <w:lvlText w:val="%4."/>
      <w:lvlJc w:val="left"/>
      <w:pPr>
        <w:tabs>
          <w:tab w:val="num" w:pos="4363"/>
        </w:tabs>
        <w:ind w:left="4363" w:hanging="360"/>
      </w:pPr>
      <w:rPr>
        <w:rFonts w:cs="Times New Roman"/>
      </w:rPr>
    </w:lvl>
    <w:lvl w:ilvl="4" w:tplc="04100019" w:tentative="1">
      <w:start w:val="1"/>
      <w:numFmt w:val="lowerLetter"/>
      <w:lvlText w:val="%5."/>
      <w:lvlJc w:val="left"/>
      <w:pPr>
        <w:tabs>
          <w:tab w:val="num" w:pos="5083"/>
        </w:tabs>
        <w:ind w:left="5083" w:hanging="360"/>
      </w:pPr>
      <w:rPr>
        <w:rFonts w:cs="Times New Roman"/>
      </w:rPr>
    </w:lvl>
    <w:lvl w:ilvl="5" w:tplc="0410001B" w:tentative="1">
      <w:start w:val="1"/>
      <w:numFmt w:val="lowerRoman"/>
      <w:lvlText w:val="%6."/>
      <w:lvlJc w:val="right"/>
      <w:pPr>
        <w:tabs>
          <w:tab w:val="num" w:pos="5803"/>
        </w:tabs>
        <w:ind w:left="5803" w:hanging="180"/>
      </w:pPr>
      <w:rPr>
        <w:rFonts w:cs="Times New Roman"/>
      </w:rPr>
    </w:lvl>
    <w:lvl w:ilvl="6" w:tplc="0410000F" w:tentative="1">
      <w:start w:val="1"/>
      <w:numFmt w:val="decimal"/>
      <w:lvlText w:val="%7."/>
      <w:lvlJc w:val="left"/>
      <w:pPr>
        <w:tabs>
          <w:tab w:val="num" w:pos="6523"/>
        </w:tabs>
        <w:ind w:left="6523" w:hanging="360"/>
      </w:pPr>
      <w:rPr>
        <w:rFonts w:cs="Times New Roman"/>
      </w:rPr>
    </w:lvl>
    <w:lvl w:ilvl="7" w:tplc="04100019" w:tentative="1">
      <w:start w:val="1"/>
      <w:numFmt w:val="lowerLetter"/>
      <w:lvlText w:val="%8."/>
      <w:lvlJc w:val="left"/>
      <w:pPr>
        <w:tabs>
          <w:tab w:val="num" w:pos="7243"/>
        </w:tabs>
        <w:ind w:left="7243" w:hanging="360"/>
      </w:pPr>
      <w:rPr>
        <w:rFonts w:cs="Times New Roman"/>
      </w:rPr>
    </w:lvl>
    <w:lvl w:ilvl="8" w:tplc="0410001B" w:tentative="1">
      <w:start w:val="1"/>
      <w:numFmt w:val="lowerRoman"/>
      <w:lvlText w:val="%9."/>
      <w:lvlJc w:val="right"/>
      <w:pPr>
        <w:tabs>
          <w:tab w:val="num" w:pos="7963"/>
        </w:tabs>
        <w:ind w:left="7963" w:hanging="180"/>
      </w:pPr>
      <w:rPr>
        <w:rFonts w:cs="Times New Roman"/>
      </w:rPr>
    </w:lvl>
  </w:abstractNum>
  <w:abstractNum w:abstractNumId="35">
    <w:nsid w:val="7CDC6A4C"/>
    <w:multiLevelType w:val="hybridMultilevel"/>
    <w:tmpl w:val="F65CBF06"/>
    <w:lvl w:ilvl="0" w:tplc="F0AE08D4">
      <w:start w:val="1"/>
      <w:numFmt w:val="lowerLetter"/>
      <w:lvlText w:val="(%1)"/>
      <w:lvlJc w:val="left"/>
      <w:pPr>
        <w:ind w:left="2174" w:hanging="360"/>
      </w:pPr>
      <w:rPr>
        <w:rFonts w:cs="Times New Roman" w:hint="default"/>
      </w:rPr>
    </w:lvl>
    <w:lvl w:ilvl="1" w:tplc="04100019" w:tentative="1">
      <w:start w:val="1"/>
      <w:numFmt w:val="lowerLetter"/>
      <w:lvlText w:val="%2."/>
      <w:lvlJc w:val="left"/>
      <w:pPr>
        <w:ind w:left="2894" w:hanging="360"/>
      </w:pPr>
      <w:rPr>
        <w:rFonts w:cs="Times New Roman"/>
      </w:rPr>
    </w:lvl>
    <w:lvl w:ilvl="2" w:tplc="0410001B" w:tentative="1">
      <w:start w:val="1"/>
      <w:numFmt w:val="lowerRoman"/>
      <w:lvlText w:val="%3."/>
      <w:lvlJc w:val="right"/>
      <w:pPr>
        <w:ind w:left="3614" w:hanging="180"/>
      </w:pPr>
      <w:rPr>
        <w:rFonts w:cs="Times New Roman"/>
      </w:rPr>
    </w:lvl>
    <w:lvl w:ilvl="3" w:tplc="0410000F" w:tentative="1">
      <w:start w:val="1"/>
      <w:numFmt w:val="decimal"/>
      <w:lvlText w:val="%4."/>
      <w:lvlJc w:val="left"/>
      <w:pPr>
        <w:ind w:left="4334" w:hanging="360"/>
      </w:pPr>
      <w:rPr>
        <w:rFonts w:cs="Times New Roman"/>
      </w:rPr>
    </w:lvl>
    <w:lvl w:ilvl="4" w:tplc="04100019" w:tentative="1">
      <w:start w:val="1"/>
      <w:numFmt w:val="lowerLetter"/>
      <w:lvlText w:val="%5."/>
      <w:lvlJc w:val="left"/>
      <w:pPr>
        <w:ind w:left="5054" w:hanging="360"/>
      </w:pPr>
      <w:rPr>
        <w:rFonts w:cs="Times New Roman"/>
      </w:rPr>
    </w:lvl>
    <w:lvl w:ilvl="5" w:tplc="0410001B" w:tentative="1">
      <w:start w:val="1"/>
      <w:numFmt w:val="lowerRoman"/>
      <w:lvlText w:val="%6."/>
      <w:lvlJc w:val="right"/>
      <w:pPr>
        <w:ind w:left="5774" w:hanging="180"/>
      </w:pPr>
      <w:rPr>
        <w:rFonts w:cs="Times New Roman"/>
      </w:rPr>
    </w:lvl>
    <w:lvl w:ilvl="6" w:tplc="0410000F" w:tentative="1">
      <w:start w:val="1"/>
      <w:numFmt w:val="decimal"/>
      <w:lvlText w:val="%7."/>
      <w:lvlJc w:val="left"/>
      <w:pPr>
        <w:ind w:left="6494" w:hanging="360"/>
      </w:pPr>
      <w:rPr>
        <w:rFonts w:cs="Times New Roman"/>
      </w:rPr>
    </w:lvl>
    <w:lvl w:ilvl="7" w:tplc="04100019" w:tentative="1">
      <w:start w:val="1"/>
      <w:numFmt w:val="lowerLetter"/>
      <w:lvlText w:val="%8."/>
      <w:lvlJc w:val="left"/>
      <w:pPr>
        <w:ind w:left="7214" w:hanging="360"/>
      </w:pPr>
      <w:rPr>
        <w:rFonts w:cs="Times New Roman"/>
      </w:rPr>
    </w:lvl>
    <w:lvl w:ilvl="8" w:tplc="0410001B" w:tentative="1">
      <w:start w:val="1"/>
      <w:numFmt w:val="lowerRoman"/>
      <w:lvlText w:val="%9."/>
      <w:lvlJc w:val="right"/>
      <w:pPr>
        <w:ind w:left="7934" w:hanging="180"/>
      </w:pPr>
      <w:rPr>
        <w:rFonts w:cs="Times New Roman"/>
      </w:rPr>
    </w:lvl>
  </w:abstractNum>
  <w:abstractNum w:abstractNumId="36">
    <w:nsid w:val="7FD44864"/>
    <w:multiLevelType w:val="hybridMultilevel"/>
    <w:tmpl w:val="EF1C85D8"/>
    <w:lvl w:ilvl="0" w:tplc="50B6E87E">
      <w:start w:val="1"/>
      <w:numFmt w:val="bullet"/>
      <w:lvlText w:val=""/>
      <w:lvlPicBulletId w:val="0"/>
      <w:lvlJc w:val="left"/>
      <w:pPr>
        <w:tabs>
          <w:tab w:val="num" w:pos="720"/>
        </w:tabs>
        <w:ind w:left="720" w:hanging="360"/>
      </w:pPr>
      <w:rPr>
        <w:rFonts w:ascii="Symbol" w:hAnsi="Symbol" w:hint="default"/>
      </w:rPr>
    </w:lvl>
    <w:lvl w:ilvl="1" w:tplc="E5266650" w:tentative="1">
      <w:start w:val="1"/>
      <w:numFmt w:val="bullet"/>
      <w:lvlText w:val=""/>
      <w:lvlJc w:val="left"/>
      <w:pPr>
        <w:tabs>
          <w:tab w:val="num" w:pos="1440"/>
        </w:tabs>
        <w:ind w:left="1440" w:hanging="360"/>
      </w:pPr>
      <w:rPr>
        <w:rFonts w:ascii="Symbol" w:hAnsi="Symbol" w:hint="default"/>
      </w:rPr>
    </w:lvl>
    <w:lvl w:ilvl="2" w:tplc="AA1684A0" w:tentative="1">
      <w:start w:val="1"/>
      <w:numFmt w:val="bullet"/>
      <w:lvlText w:val=""/>
      <w:lvlJc w:val="left"/>
      <w:pPr>
        <w:tabs>
          <w:tab w:val="num" w:pos="2160"/>
        </w:tabs>
        <w:ind w:left="2160" w:hanging="360"/>
      </w:pPr>
      <w:rPr>
        <w:rFonts w:ascii="Symbol" w:hAnsi="Symbol" w:hint="default"/>
      </w:rPr>
    </w:lvl>
    <w:lvl w:ilvl="3" w:tplc="87809882" w:tentative="1">
      <w:start w:val="1"/>
      <w:numFmt w:val="bullet"/>
      <w:lvlText w:val=""/>
      <w:lvlJc w:val="left"/>
      <w:pPr>
        <w:tabs>
          <w:tab w:val="num" w:pos="2880"/>
        </w:tabs>
        <w:ind w:left="2880" w:hanging="360"/>
      </w:pPr>
      <w:rPr>
        <w:rFonts w:ascii="Symbol" w:hAnsi="Symbol" w:hint="default"/>
      </w:rPr>
    </w:lvl>
    <w:lvl w:ilvl="4" w:tplc="5A1C3824" w:tentative="1">
      <w:start w:val="1"/>
      <w:numFmt w:val="bullet"/>
      <w:lvlText w:val=""/>
      <w:lvlJc w:val="left"/>
      <w:pPr>
        <w:tabs>
          <w:tab w:val="num" w:pos="3600"/>
        </w:tabs>
        <w:ind w:left="3600" w:hanging="360"/>
      </w:pPr>
      <w:rPr>
        <w:rFonts w:ascii="Symbol" w:hAnsi="Symbol" w:hint="default"/>
      </w:rPr>
    </w:lvl>
    <w:lvl w:ilvl="5" w:tplc="0442978E" w:tentative="1">
      <w:start w:val="1"/>
      <w:numFmt w:val="bullet"/>
      <w:lvlText w:val=""/>
      <w:lvlJc w:val="left"/>
      <w:pPr>
        <w:tabs>
          <w:tab w:val="num" w:pos="4320"/>
        </w:tabs>
        <w:ind w:left="4320" w:hanging="360"/>
      </w:pPr>
      <w:rPr>
        <w:rFonts w:ascii="Symbol" w:hAnsi="Symbol" w:hint="default"/>
      </w:rPr>
    </w:lvl>
    <w:lvl w:ilvl="6" w:tplc="9BB89280" w:tentative="1">
      <w:start w:val="1"/>
      <w:numFmt w:val="bullet"/>
      <w:lvlText w:val=""/>
      <w:lvlJc w:val="left"/>
      <w:pPr>
        <w:tabs>
          <w:tab w:val="num" w:pos="5040"/>
        </w:tabs>
        <w:ind w:left="5040" w:hanging="360"/>
      </w:pPr>
      <w:rPr>
        <w:rFonts w:ascii="Symbol" w:hAnsi="Symbol" w:hint="default"/>
      </w:rPr>
    </w:lvl>
    <w:lvl w:ilvl="7" w:tplc="C7466C32" w:tentative="1">
      <w:start w:val="1"/>
      <w:numFmt w:val="bullet"/>
      <w:lvlText w:val=""/>
      <w:lvlJc w:val="left"/>
      <w:pPr>
        <w:tabs>
          <w:tab w:val="num" w:pos="5760"/>
        </w:tabs>
        <w:ind w:left="5760" w:hanging="360"/>
      </w:pPr>
      <w:rPr>
        <w:rFonts w:ascii="Symbol" w:hAnsi="Symbol" w:hint="default"/>
      </w:rPr>
    </w:lvl>
    <w:lvl w:ilvl="8" w:tplc="4E2A2090" w:tentative="1">
      <w:start w:val="1"/>
      <w:numFmt w:val="bullet"/>
      <w:lvlText w:val=""/>
      <w:lvlJc w:val="left"/>
      <w:pPr>
        <w:tabs>
          <w:tab w:val="num" w:pos="6480"/>
        </w:tabs>
        <w:ind w:left="6480" w:hanging="360"/>
      </w:pPr>
      <w:rPr>
        <w:rFonts w:ascii="Symbol" w:hAnsi="Symbol" w:hint="default"/>
      </w:rPr>
    </w:lvl>
  </w:abstractNum>
  <w:num w:numId="1">
    <w:abstractNumId w:val="0"/>
    <w:lvlOverride w:ilvl="0">
      <w:lvl w:ilvl="0">
        <w:start w:val="1"/>
        <w:numFmt w:val="bullet"/>
        <w:lvlText w:val=""/>
        <w:legacy w:legacy="1" w:legacySpace="120" w:legacyIndent="567"/>
        <w:lvlJc w:val="left"/>
        <w:rPr>
          <w:rFonts w:ascii="Webdings" w:hAnsi="Webdings" w:hint="default"/>
          <w:sz w:val="26"/>
        </w:rPr>
      </w:lvl>
    </w:lvlOverride>
  </w:num>
  <w:num w:numId="2">
    <w:abstractNumId w:val="0"/>
    <w:lvlOverride w:ilvl="0">
      <w:lvl w:ilvl="0">
        <w:start w:val="2"/>
        <w:numFmt w:val="bullet"/>
        <w:lvlText w:val=""/>
        <w:legacy w:legacy="1" w:legacySpace="120" w:legacyIndent="567"/>
        <w:lvlJc w:val="left"/>
        <w:rPr>
          <w:rFonts w:ascii="Webdings" w:hAnsi="Webdings" w:hint="default"/>
          <w:sz w:val="26"/>
        </w:rPr>
      </w:lvl>
    </w:lvlOverride>
  </w:num>
  <w:num w:numId="3">
    <w:abstractNumId w:val="0"/>
    <w:lvlOverride w:ilvl="0">
      <w:lvl w:ilvl="0">
        <w:start w:val="3"/>
        <w:numFmt w:val="bullet"/>
        <w:lvlText w:val=""/>
        <w:legacy w:legacy="1" w:legacySpace="120" w:legacyIndent="567"/>
        <w:lvlJc w:val="left"/>
        <w:rPr>
          <w:rFonts w:ascii="Webdings" w:hAnsi="Webdings" w:hint="default"/>
          <w:sz w:val="26"/>
        </w:rPr>
      </w:lvl>
    </w:lvlOverride>
  </w:num>
  <w:num w:numId="4">
    <w:abstractNumId w:val="0"/>
    <w:lvlOverride w:ilvl="0">
      <w:lvl w:ilvl="0">
        <w:start w:val="4"/>
        <w:numFmt w:val="bullet"/>
        <w:lvlText w:val=""/>
        <w:legacy w:legacy="1" w:legacySpace="120" w:legacyIndent="567"/>
        <w:lvlJc w:val="left"/>
        <w:rPr>
          <w:rFonts w:ascii="Webdings" w:hAnsi="Webdings" w:hint="default"/>
          <w:sz w:val="26"/>
        </w:rPr>
      </w:lvl>
    </w:lvlOverride>
  </w:num>
  <w:num w:numId="5">
    <w:abstractNumId w:val="0"/>
    <w:lvlOverride w:ilvl="0">
      <w:lvl w:ilvl="0">
        <w:start w:val="5"/>
        <w:numFmt w:val="bullet"/>
        <w:lvlText w:val=""/>
        <w:legacy w:legacy="1" w:legacySpace="120" w:legacyIndent="567"/>
        <w:lvlJc w:val="left"/>
        <w:rPr>
          <w:rFonts w:ascii="Webdings" w:hAnsi="Webdings" w:hint="default"/>
          <w:sz w:val="26"/>
        </w:rPr>
      </w:lvl>
    </w:lvlOverride>
  </w:num>
  <w:num w:numId="6">
    <w:abstractNumId w:val="0"/>
    <w:lvlOverride w:ilvl="0">
      <w:lvl w:ilvl="0">
        <w:start w:val="6"/>
        <w:numFmt w:val="bullet"/>
        <w:lvlText w:val=""/>
        <w:legacy w:legacy="1" w:legacySpace="120" w:legacyIndent="567"/>
        <w:lvlJc w:val="left"/>
        <w:rPr>
          <w:rFonts w:ascii="Webdings" w:hAnsi="Webdings" w:hint="default"/>
          <w:sz w:val="26"/>
        </w:rPr>
      </w:lvl>
    </w:lvlOverride>
  </w:num>
  <w:num w:numId="7">
    <w:abstractNumId w:val="0"/>
    <w:lvlOverride w:ilvl="0">
      <w:lvl w:ilvl="0">
        <w:start w:val="7"/>
        <w:numFmt w:val="bullet"/>
        <w:lvlText w:val=""/>
        <w:legacy w:legacy="1" w:legacySpace="120" w:legacyIndent="567"/>
        <w:lvlJc w:val="left"/>
        <w:rPr>
          <w:rFonts w:ascii="Webdings" w:hAnsi="Webdings" w:hint="default"/>
          <w:sz w:val="26"/>
        </w:rPr>
      </w:lvl>
    </w:lvlOverride>
  </w:num>
  <w:num w:numId="8">
    <w:abstractNumId w:val="0"/>
    <w:lvlOverride w:ilvl="0">
      <w:lvl w:ilvl="0">
        <w:start w:val="1"/>
        <w:numFmt w:val="bullet"/>
        <w:lvlText w:val=""/>
        <w:legacy w:legacy="1" w:legacySpace="120" w:legacyIndent="360"/>
        <w:lvlJc w:val="left"/>
        <w:rPr>
          <w:rFonts w:ascii="Symbol" w:hAnsi="Symbol" w:hint="default"/>
        </w:rPr>
      </w:lvl>
    </w:lvlOverride>
  </w:num>
  <w:num w:numId="9">
    <w:abstractNumId w:val="0"/>
    <w:lvlOverride w:ilvl="0">
      <w:lvl w:ilvl="0">
        <w:start w:val="2"/>
        <w:numFmt w:val="bullet"/>
        <w:lvlText w:val=""/>
        <w:legacy w:legacy="1" w:legacySpace="120" w:legacyIndent="360"/>
        <w:lvlJc w:val="left"/>
        <w:rPr>
          <w:rFonts w:ascii="Symbol" w:hAnsi="Symbol" w:hint="default"/>
        </w:rPr>
      </w:lvl>
    </w:lvlOverride>
  </w:num>
  <w:num w:numId="10">
    <w:abstractNumId w:val="0"/>
    <w:lvlOverride w:ilvl="0">
      <w:lvl w:ilvl="0">
        <w:start w:val="3"/>
        <w:numFmt w:val="bullet"/>
        <w:lvlText w:val=""/>
        <w:legacy w:legacy="1" w:legacySpace="120" w:legacyIndent="360"/>
        <w:lvlJc w:val="left"/>
        <w:rPr>
          <w:rFonts w:ascii="Symbol" w:hAnsi="Symbol" w:hint="default"/>
        </w:rPr>
      </w:lvl>
    </w:lvlOverride>
  </w:num>
  <w:num w:numId="11">
    <w:abstractNumId w:val="0"/>
    <w:lvlOverride w:ilvl="0">
      <w:lvl w:ilvl="0">
        <w:start w:val="4"/>
        <w:numFmt w:val="bullet"/>
        <w:lvlText w:val=""/>
        <w:legacy w:legacy="1" w:legacySpace="120" w:legacyIndent="360"/>
        <w:lvlJc w:val="left"/>
        <w:rPr>
          <w:rFonts w:ascii="Symbol" w:hAnsi="Symbol" w:hint="default"/>
        </w:rPr>
      </w:lvl>
    </w:lvlOverride>
  </w:num>
  <w:num w:numId="12">
    <w:abstractNumId w:val="27"/>
  </w:num>
  <w:num w:numId="13">
    <w:abstractNumId w:val="1"/>
  </w:num>
  <w:num w:numId="14">
    <w:abstractNumId w:val="12"/>
  </w:num>
  <w:num w:numId="15">
    <w:abstractNumId w:val="24"/>
  </w:num>
  <w:num w:numId="16">
    <w:abstractNumId w:val="28"/>
  </w:num>
  <w:num w:numId="17">
    <w:abstractNumId w:val="29"/>
  </w:num>
  <w:num w:numId="18">
    <w:abstractNumId w:val="36"/>
  </w:num>
  <w:num w:numId="19">
    <w:abstractNumId w:val="3"/>
  </w:num>
  <w:num w:numId="20">
    <w:abstractNumId w:val="13"/>
  </w:num>
  <w:num w:numId="21">
    <w:abstractNumId w:val="4"/>
  </w:num>
  <w:num w:numId="22">
    <w:abstractNumId w:val="10"/>
  </w:num>
  <w:num w:numId="23">
    <w:abstractNumId w:val="35"/>
  </w:num>
  <w:num w:numId="24">
    <w:abstractNumId w:val="8"/>
  </w:num>
  <w:num w:numId="25">
    <w:abstractNumId w:val="22"/>
  </w:num>
  <w:num w:numId="26">
    <w:abstractNumId w:val="34"/>
  </w:num>
  <w:num w:numId="27">
    <w:abstractNumId w:val="23"/>
  </w:num>
  <w:num w:numId="28">
    <w:abstractNumId w:val="12"/>
  </w:num>
  <w:num w:numId="29">
    <w:abstractNumId w:val="16"/>
  </w:num>
  <w:num w:numId="30">
    <w:abstractNumId w:val="20"/>
  </w:num>
  <w:num w:numId="31">
    <w:abstractNumId w:val="4"/>
  </w:num>
  <w:num w:numId="32">
    <w:abstractNumId w:val="12"/>
  </w:num>
  <w:num w:numId="33">
    <w:abstractNumId w:val="6"/>
  </w:num>
  <w:num w:numId="34">
    <w:abstractNumId w:val="18"/>
  </w:num>
  <w:num w:numId="35">
    <w:abstractNumId w:val="17"/>
  </w:num>
  <w:num w:numId="36">
    <w:abstractNumId w:val="15"/>
  </w:num>
  <w:num w:numId="37">
    <w:abstractNumId w:val="14"/>
  </w:num>
  <w:num w:numId="38">
    <w:abstractNumId w:val="11"/>
  </w:num>
  <w:num w:numId="39">
    <w:abstractNumId w:val="31"/>
  </w:num>
  <w:num w:numId="40">
    <w:abstractNumId w:val="25"/>
  </w:num>
  <w:num w:numId="41">
    <w:abstractNumId w:val="5"/>
  </w:num>
  <w:num w:numId="42">
    <w:abstractNumId w:val="19"/>
  </w:num>
  <w:num w:numId="43">
    <w:abstractNumId w:val="30"/>
  </w:num>
  <w:num w:numId="44">
    <w:abstractNumId w:val="26"/>
  </w:num>
  <w:num w:numId="45">
    <w:abstractNumId w:val="21"/>
  </w:num>
  <w:num w:numId="46">
    <w:abstractNumId w:val="7"/>
  </w:num>
  <w:num w:numId="47">
    <w:abstractNumId w:val="2"/>
  </w:num>
  <w:num w:numId="48">
    <w:abstractNumId w:val="33"/>
  </w:num>
  <w:num w:numId="49">
    <w:abstractNumId w:val="9"/>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i A. Barbieri">
    <w15:presenceInfo w15:providerId="Windows Live" w15:userId="b00c83aa09ae5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7E"/>
    <w:rsid w:val="00000148"/>
    <w:rsid w:val="0000132B"/>
    <w:rsid w:val="00001C85"/>
    <w:rsid w:val="0000242C"/>
    <w:rsid w:val="000026DF"/>
    <w:rsid w:val="000034C8"/>
    <w:rsid w:val="00003AAA"/>
    <w:rsid w:val="00003AD9"/>
    <w:rsid w:val="00003F46"/>
    <w:rsid w:val="00004794"/>
    <w:rsid w:val="00004DDD"/>
    <w:rsid w:val="00004DF3"/>
    <w:rsid w:val="00005A6B"/>
    <w:rsid w:val="00005EE0"/>
    <w:rsid w:val="0000683C"/>
    <w:rsid w:val="00007042"/>
    <w:rsid w:val="00007E97"/>
    <w:rsid w:val="00010041"/>
    <w:rsid w:val="000101B6"/>
    <w:rsid w:val="000102D5"/>
    <w:rsid w:val="00010573"/>
    <w:rsid w:val="0001089C"/>
    <w:rsid w:val="00010957"/>
    <w:rsid w:val="000109E3"/>
    <w:rsid w:val="00010A46"/>
    <w:rsid w:val="00010B15"/>
    <w:rsid w:val="0001102B"/>
    <w:rsid w:val="00011610"/>
    <w:rsid w:val="000116E6"/>
    <w:rsid w:val="000119A0"/>
    <w:rsid w:val="00011A51"/>
    <w:rsid w:val="00011E04"/>
    <w:rsid w:val="00011F76"/>
    <w:rsid w:val="00012364"/>
    <w:rsid w:val="0001283C"/>
    <w:rsid w:val="00012A11"/>
    <w:rsid w:val="000135AB"/>
    <w:rsid w:val="00013751"/>
    <w:rsid w:val="00013995"/>
    <w:rsid w:val="00013A1E"/>
    <w:rsid w:val="00013F41"/>
    <w:rsid w:val="0001411E"/>
    <w:rsid w:val="00014927"/>
    <w:rsid w:val="000158A5"/>
    <w:rsid w:val="00015D22"/>
    <w:rsid w:val="00015EAD"/>
    <w:rsid w:val="00015EE2"/>
    <w:rsid w:val="00016732"/>
    <w:rsid w:val="00016FA7"/>
    <w:rsid w:val="00017353"/>
    <w:rsid w:val="000173B1"/>
    <w:rsid w:val="0001753C"/>
    <w:rsid w:val="00017C99"/>
    <w:rsid w:val="00017FE4"/>
    <w:rsid w:val="000205CA"/>
    <w:rsid w:val="0002065A"/>
    <w:rsid w:val="000213E2"/>
    <w:rsid w:val="00021B34"/>
    <w:rsid w:val="00022197"/>
    <w:rsid w:val="00022763"/>
    <w:rsid w:val="000241B7"/>
    <w:rsid w:val="00024896"/>
    <w:rsid w:val="00024BDA"/>
    <w:rsid w:val="00025204"/>
    <w:rsid w:val="00025294"/>
    <w:rsid w:val="0002574E"/>
    <w:rsid w:val="000257C6"/>
    <w:rsid w:val="00025822"/>
    <w:rsid w:val="00025AA7"/>
    <w:rsid w:val="000266A7"/>
    <w:rsid w:val="00027262"/>
    <w:rsid w:val="00027880"/>
    <w:rsid w:val="00027BF3"/>
    <w:rsid w:val="00030499"/>
    <w:rsid w:val="0003114F"/>
    <w:rsid w:val="00031258"/>
    <w:rsid w:val="00031864"/>
    <w:rsid w:val="00031C2E"/>
    <w:rsid w:val="00031CBF"/>
    <w:rsid w:val="00032EAC"/>
    <w:rsid w:val="00033432"/>
    <w:rsid w:val="000350E3"/>
    <w:rsid w:val="00035164"/>
    <w:rsid w:val="00035837"/>
    <w:rsid w:val="0003629C"/>
    <w:rsid w:val="000363D3"/>
    <w:rsid w:val="00036467"/>
    <w:rsid w:val="0004002D"/>
    <w:rsid w:val="00040033"/>
    <w:rsid w:val="000402DE"/>
    <w:rsid w:val="00041DD2"/>
    <w:rsid w:val="00041DDD"/>
    <w:rsid w:val="00041DEF"/>
    <w:rsid w:val="0004257E"/>
    <w:rsid w:val="00042B16"/>
    <w:rsid w:val="00042D21"/>
    <w:rsid w:val="00042F77"/>
    <w:rsid w:val="000433C2"/>
    <w:rsid w:val="0004346C"/>
    <w:rsid w:val="00043C67"/>
    <w:rsid w:val="00044518"/>
    <w:rsid w:val="00044806"/>
    <w:rsid w:val="00044BA2"/>
    <w:rsid w:val="000455A6"/>
    <w:rsid w:val="00045BC9"/>
    <w:rsid w:val="000461F5"/>
    <w:rsid w:val="000462ED"/>
    <w:rsid w:val="00046668"/>
    <w:rsid w:val="00046950"/>
    <w:rsid w:val="00046AF5"/>
    <w:rsid w:val="000478E6"/>
    <w:rsid w:val="00047CCE"/>
    <w:rsid w:val="00050117"/>
    <w:rsid w:val="00050441"/>
    <w:rsid w:val="00050489"/>
    <w:rsid w:val="000508D1"/>
    <w:rsid w:val="00051D92"/>
    <w:rsid w:val="00051FC2"/>
    <w:rsid w:val="000520CF"/>
    <w:rsid w:val="0005292D"/>
    <w:rsid w:val="000529D1"/>
    <w:rsid w:val="0005329B"/>
    <w:rsid w:val="00053471"/>
    <w:rsid w:val="000537BB"/>
    <w:rsid w:val="0005395E"/>
    <w:rsid w:val="0005548D"/>
    <w:rsid w:val="00055E26"/>
    <w:rsid w:val="000565A3"/>
    <w:rsid w:val="00056612"/>
    <w:rsid w:val="00056635"/>
    <w:rsid w:val="000567BC"/>
    <w:rsid w:val="000569E0"/>
    <w:rsid w:val="00057588"/>
    <w:rsid w:val="0005787F"/>
    <w:rsid w:val="00060194"/>
    <w:rsid w:val="00060769"/>
    <w:rsid w:val="000607A6"/>
    <w:rsid w:val="00061336"/>
    <w:rsid w:val="0006148E"/>
    <w:rsid w:val="000614AF"/>
    <w:rsid w:val="000617AE"/>
    <w:rsid w:val="000617FF"/>
    <w:rsid w:val="00061BEA"/>
    <w:rsid w:val="00061E67"/>
    <w:rsid w:val="000621DF"/>
    <w:rsid w:val="000629AB"/>
    <w:rsid w:val="00062C7C"/>
    <w:rsid w:val="00062E45"/>
    <w:rsid w:val="000635F7"/>
    <w:rsid w:val="000643F7"/>
    <w:rsid w:val="00064404"/>
    <w:rsid w:val="00064503"/>
    <w:rsid w:val="00065467"/>
    <w:rsid w:val="000657E2"/>
    <w:rsid w:val="000662FB"/>
    <w:rsid w:val="00066B23"/>
    <w:rsid w:val="00070718"/>
    <w:rsid w:val="000707DE"/>
    <w:rsid w:val="00071EFA"/>
    <w:rsid w:val="000720F5"/>
    <w:rsid w:val="000720F8"/>
    <w:rsid w:val="00072126"/>
    <w:rsid w:val="00072BE2"/>
    <w:rsid w:val="00072EBC"/>
    <w:rsid w:val="000732DF"/>
    <w:rsid w:val="0007358E"/>
    <w:rsid w:val="00073872"/>
    <w:rsid w:val="00073F42"/>
    <w:rsid w:val="00073FF4"/>
    <w:rsid w:val="00074665"/>
    <w:rsid w:val="000746D5"/>
    <w:rsid w:val="00074709"/>
    <w:rsid w:val="000754BC"/>
    <w:rsid w:val="000755F9"/>
    <w:rsid w:val="000760AF"/>
    <w:rsid w:val="0007650D"/>
    <w:rsid w:val="0007754A"/>
    <w:rsid w:val="000777FD"/>
    <w:rsid w:val="00077890"/>
    <w:rsid w:val="00077E7D"/>
    <w:rsid w:val="000803AD"/>
    <w:rsid w:val="00081300"/>
    <w:rsid w:val="0008144A"/>
    <w:rsid w:val="00081732"/>
    <w:rsid w:val="000818DD"/>
    <w:rsid w:val="000819D4"/>
    <w:rsid w:val="00081E2D"/>
    <w:rsid w:val="0008235E"/>
    <w:rsid w:val="0008280D"/>
    <w:rsid w:val="000828E6"/>
    <w:rsid w:val="000829B6"/>
    <w:rsid w:val="00082A62"/>
    <w:rsid w:val="00082E1E"/>
    <w:rsid w:val="00082FBE"/>
    <w:rsid w:val="00083429"/>
    <w:rsid w:val="00083AAF"/>
    <w:rsid w:val="00083FE3"/>
    <w:rsid w:val="00084387"/>
    <w:rsid w:val="00084AF6"/>
    <w:rsid w:val="0008527C"/>
    <w:rsid w:val="0008545A"/>
    <w:rsid w:val="00085AFD"/>
    <w:rsid w:val="00085B9B"/>
    <w:rsid w:val="00085BC7"/>
    <w:rsid w:val="00085CBC"/>
    <w:rsid w:val="00085E6A"/>
    <w:rsid w:val="000876FA"/>
    <w:rsid w:val="00087774"/>
    <w:rsid w:val="00087BB3"/>
    <w:rsid w:val="00090B9F"/>
    <w:rsid w:val="00090D41"/>
    <w:rsid w:val="00090DE6"/>
    <w:rsid w:val="0009127D"/>
    <w:rsid w:val="000924D4"/>
    <w:rsid w:val="000928AE"/>
    <w:rsid w:val="00092C29"/>
    <w:rsid w:val="0009304B"/>
    <w:rsid w:val="000932B7"/>
    <w:rsid w:val="00093644"/>
    <w:rsid w:val="000946EF"/>
    <w:rsid w:val="00094B3C"/>
    <w:rsid w:val="00094CB4"/>
    <w:rsid w:val="00095213"/>
    <w:rsid w:val="00095296"/>
    <w:rsid w:val="00096313"/>
    <w:rsid w:val="00096371"/>
    <w:rsid w:val="0009657B"/>
    <w:rsid w:val="00096954"/>
    <w:rsid w:val="00096DB8"/>
    <w:rsid w:val="000972EF"/>
    <w:rsid w:val="00097965"/>
    <w:rsid w:val="00097CFF"/>
    <w:rsid w:val="000A123E"/>
    <w:rsid w:val="000A169F"/>
    <w:rsid w:val="000A1943"/>
    <w:rsid w:val="000A2640"/>
    <w:rsid w:val="000A27BB"/>
    <w:rsid w:val="000A356E"/>
    <w:rsid w:val="000A3618"/>
    <w:rsid w:val="000A3B61"/>
    <w:rsid w:val="000A3E31"/>
    <w:rsid w:val="000A3EBA"/>
    <w:rsid w:val="000A4031"/>
    <w:rsid w:val="000A4E9A"/>
    <w:rsid w:val="000A5314"/>
    <w:rsid w:val="000A5D8F"/>
    <w:rsid w:val="000A63AD"/>
    <w:rsid w:val="000A6591"/>
    <w:rsid w:val="000A677A"/>
    <w:rsid w:val="000A77D6"/>
    <w:rsid w:val="000A7987"/>
    <w:rsid w:val="000A7B77"/>
    <w:rsid w:val="000A7CF9"/>
    <w:rsid w:val="000B01FA"/>
    <w:rsid w:val="000B022B"/>
    <w:rsid w:val="000B0DCE"/>
    <w:rsid w:val="000B1F2B"/>
    <w:rsid w:val="000B27E0"/>
    <w:rsid w:val="000B2A82"/>
    <w:rsid w:val="000B32E4"/>
    <w:rsid w:val="000B3304"/>
    <w:rsid w:val="000B38EA"/>
    <w:rsid w:val="000B3D8C"/>
    <w:rsid w:val="000B3F89"/>
    <w:rsid w:val="000B51E7"/>
    <w:rsid w:val="000B53D7"/>
    <w:rsid w:val="000B56C0"/>
    <w:rsid w:val="000B5A90"/>
    <w:rsid w:val="000B5B83"/>
    <w:rsid w:val="000B5DC1"/>
    <w:rsid w:val="000B6A87"/>
    <w:rsid w:val="000B6D0F"/>
    <w:rsid w:val="000B6E6D"/>
    <w:rsid w:val="000B75D7"/>
    <w:rsid w:val="000B7989"/>
    <w:rsid w:val="000B7FDF"/>
    <w:rsid w:val="000C099C"/>
    <w:rsid w:val="000C0F55"/>
    <w:rsid w:val="000C14A2"/>
    <w:rsid w:val="000C1C3E"/>
    <w:rsid w:val="000C233C"/>
    <w:rsid w:val="000C25D8"/>
    <w:rsid w:val="000C267B"/>
    <w:rsid w:val="000C2980"/>
    <w:rsid w:val="000C2E5E"/>
    <w:rsid w:val="000C35FB"/>
    <w:rsid w:val="000C37E0"/>
    <w:rsid w:val="000C3830"/>
    <w:rsid w:val="000C3B8F"/>
    <w:rsid w:val="000C3DA5"/>
    <w:rsid w:val="000C4474"/>
    <w:rsid w:val="000C4D5C"/>
    <w:rsid w:val="000C5202"/>
    <w:rsid w:val="000C53F5"/>
    <w:rsid w:val="000C5564"/>
    <w:rsid w:val="000C57DD"/>
    <w:rsid w:val="000C59C4"/>
    <w:rsid w:val="000C6ABB"/>
    <w:rsid w:val="000C71C5"/>
    <w:rsid w:val="000C727A"/>
    <w:rsid w:val="000C7697"/>
    <w:rsid w:val="000C7B4C"/>
    <w:rsid w:val="000C7EF4"/>
    <w:rsid w:val="000D072A"/>
    <w:rsid w:val="000D1B06"/>
    <w:rsid w:val="000D2237"/>
    <w:rsid w:val="000D2F1C"/>
    <w:rsid w:val="000D3A7C"/>
    <w:rsid w:val="000D4FE9"/>
    <w:rsid w:val="000D53B8"/>
    <w:rsid w:val="000D5A2B"/>
    <w:rsid w:val="000D70FA"/>
    <w:rsid w:val="000D7679"/>
    <w:rsid w:val="000E0FC9"/>
    <w:rsid w:val="000E1054"/>
    <w:rsid w:val="000E11E0"/>
    <w:rsid w:val="000E1473"/>
    <w:rsid w:val="000E162A"/>
    <w:rsid w:val="000E19F0"/>
    <w:rsid w:val="000E1E6F"/>
    <w:rsid w:val="000E2098"/>
    <w:rsid w:val="000E230F"/>
    <w:rsid w:val="000E23BF"/>
    <w:rsid w:val="000E23EF"/>
    <w:rsid w:val="000E2852"/>
    <w:rsid w:val="000E2A0E"/>
    <w:rsid w:val="000E2BE0"/>
    <w:rsid w:val="000E2E1B"/>
    <w:rsid w:val="000E2F47"/>
    <w:rsid w:val="000E32BE"/>
    <w:rsid w:val="000E32CD"/>
    <w:rsid w:val="000E3CFC"/>
    <w:rsid w:val="000E40CB"/>
    <w:rsid w:val="000E4518"/>
    <w:rsid w:val="000E4A6D"/>
    <w:rsid w:val="000E4C50"/>
    <w:rsid w:val="000E4D90"/>
    <w:rsid w:val="000E62CE"/>
    <w:rsid w:val="000E63BC"/>
    <w:rsid w:val="000E649F"/>
    <w:rsid w:val="000E6B08"/>
    <w:rsid w:val="000E6BC1"/>
    <w:rsid w:val="000E735D"/>
    <w:rsid w:val="000E7523"/>
    <w:rsid w:val="000E77EA"/>
    <w:rsid w:val="000E78BC"/>
    <w:rsid w:val="000E79A9"/>
    <w:rsid w:val="000E7D16"/>
    <w:rsid w:val="000E7F42"/>
    <w:rsid w:val="000F0106"/>
    <w:rsid w:val="000F039B"/>
    <w:rsid w:val="000F082B"/>
    <w:rsid w:val="000F0888"/>
    <w:rsid w:val="000F1519"/>
    <w:rsid w:val="000F18A3"/>
    <w:rsid w:val="000F19CA"/>
    <w:rsid w:val="000F1A51"/>
    <w:rsid w:val="000F1CEF"/>
    <w:rsid w:val="000F1FD2"/>
    <w:rsid w:val="000F26C0"/>
    <w:rsid w:val="000F2BE7"/>
    <w:rsid w:val="000F32D0"/>
    <w:rsid w:val="000F370D"/>
    <w:rsid w:val="000F4340"/>
    <w:rsid w:val="000F4698"/>
    <w:rsid w:val="000F4B2E"/>
    <w:rsid w:val="000F4D00"/>
    <w:rsid w:val="000F4FE7"/>
    <w:rsid w:val="000F56E7"/>
    <w:rsid w:val="000F5E41"/>
    <w:rsid w:val="000F5EC4"/>
    <w:rsid w:val="000F6161"/>
    <w:rsid w:val="000F6BEF"/>
    <w:rsid w:val="000F7AD5"/>
    <w:rsid w:val="000F7F64"/>
    <w:rsid w:val="00100058"/>
    <w:rsid w:val="00100472"/>
    <w:rsid w:val="00100B0C"/>
    <w:rsid w:val="00101F21"/>
    <w:rsid w:val="0010203F"/>
    <w:rsid w:val="00102B37"/>
    <w:rsid w:val="00102E12"/>
    <w:rsid w:val="001030AE"/>
    <w:rsid w:val="0010327A"/>
    <w:rsid w:val="001035FC"/>
    <w:rsid w:val="00103A48"/>
    <w:rsid w:val="00104708"/>
    <w:rsid w:val="00104715"/>
    <w:rsid w:val="00104E68"/>
    <w:rsid w:val="00105B08"/>
    <w:rsid w:val="00105C49"/>
    <w:rsid w:val="0010607E"/>
    <w:rsid w:val="0010656D"/>
    <w:rsid w:val="0010687A"/>
    <w:rsid w:val="00107126"/>
    <w:rsid w:val="001079C3"/>
    <w:rsid w:val="00107B24"/>
    <w:rsid w:val="00107BA0"/>
    <w:rsid w:val="0011146C"/>
    <w:rsid w:val="00111B8E"/>
    <w:rsid w:val="00111D49"/>
    <w:rsid w:val="0011240C"/>
    <w:rsid w:val="001126A8"/>
    <w:rsid w:val="00112FD6"/>
    <w:rsid w:val="00113BDB"/>
    <w:rsid w:val="00113E20"/>
    <w:rsid w:val="00113E61"/>
    <w:rsid w:val="00113F0D"/>
    <w:rsid w:val="00114045"/>
    <w:rsid w:val="001143AE"/>
    <w:rsid w:val="001143D0"/>
    <w:rsid w:val="001146BF"/>
    <w:rsid w:val="0011562D"/>
    <w:rsid w:val="00116703"/>
    <w:rsid w:val="00117309"/>
    <w:rsid w:val="00117767"/>
    <w:rsid w:val="00117BB0"/>
    <w:rsid w:val="0012011D"/>
    <w:rsid w:val="00120457"/>
    <w:rsid w:val="00120D7F"/>
    <w:rsid w:val="00120F89"/>
    <w:rsid w:val="00121176"/>
    <w:rsid w:val="00121DE8"/>
    <w:rsid w:val="00121F1E"/>
    <w:rsid w:val="00122912"/>
    <w:rsid w:val="00122D17"/>
    <w:rsid w:val="00122E51"/>
    <w:rsid w:val="0012380F"/>
    <w:rsid w:val="00123A77"/>
    <w:rsid w:val="001249B2"/>
    <w:rsid w:val="001254C6"/>
    <w:rsid w:val="00125651"/>
    <w:rsid w:val="00125AC1"/>
    <w:rsid w:val="00125C51"/>
    <w:rsid w:val="00125CF7"/>
    <w:rsid w:val="00125FC1"/>
    <w:rsid w:val="001261E2"/>
    <w:rsid w:val="00126235"/>
    <w:rsid w:val="00126503"/>
    <w:rsid w:val="00126876"/>
    <w:rsid w:val="00127197"/>
    <w:rsid w:val="001273DA"/>
    <w:rsid w:val="00127CCE"/>
    <w:rsid w:val="00131084"/>
    <w:rsid w:val="001315D4"/>
    <w:rsid w:val="001315EA"/>
    <w:rsid w:val="0013171C"/>
    <w:rsid w:val="001319AE"/>
    <w:rsid w:val="00132098"/>
    <w:rsid w:val="0013239A"/>
    <w:rsid w:val="00132674"/>
    <w:rsid w:val="00132D0E"/>
    <w:rsid w:val="00132F27"/>
    <w:rsid w:val="001334D9"/>
    <w:rsid w:val="001335FA"/>
    <w:rsid w:val="0013399B"/>
    <w:rsid w:val="00133F6E"/>
    <w:rsid w:val="0013455F"/>
    <w:rsid w:val="00135207"/>
    <w:rsid w:val="00135970"/>
    <w:rsid w:val="00135EC9"/>
    <w:rsid w:val="00137940"/>
    <w:rsid w:val="00137B50"/>
    <w:rsid w:val="00137FEB"/>
    <w:rsid w:val="001404B7"/>
    <w:rsid w:val="00140DF2"/>
    <w:rsid w:val="001419EF"/>
    <w:rsid w:val="00141B4A"/>
    <w:rsid w:val="00141C42"/>
    <w:rsid w:val="00142E6F"/>
    <w:rsid w:val="00142F44"/>
    <w:rsid w:val="00143799"/>
    <w:rsid w:val="001438EB"/>
    <w:rsid w:val="00143A49"/>
    <w:rsid w:val="001440DD"/>
    <w:rsid w:val="00144CF0"/>
    <w:rsid w:val="00145A1D"/>
    <w:rsid w:val="001463B3"/>
    <w:rsid w:val="0014748A"/>
    <w:rsid w:val="00147CF6"/>
    <w:rsid w:val="00151343"/>
    <w:rsid w:val="001516DB"/>
    <w:rsid w:val="001532E5"/>
    <w:rsid w:val="001538D3"/>
    <w:rsid w:val="00153A3C"/>
    <w:rsid w:val="00154751"/>
    <w:rsid w:val="00154850"/>
    <w:rsid w:val="00154B63"/>
    <w:rsid w:val="00154CB3"/>
    <w:rsid w:val="001555D0"/>
    <w:rsid w:val="001565A9"/>
    <w:rsid w:val="00156C7D"/>
    <w:rsid w:val="001575D8"/>
    <w:rsid w:val="001576CC"/>
    <w:rsid w:val="00157D34"/>
    <w:rsid w:val="00157DC0"/>
    <w:rsid w:val="001600DF"/>
    <w:rsid w:val="00160180"/>
    <w:rsid w:val="00160503"/>
    <w:rsid w:val="00161230"/>
    <w:rsid w:val="00161444"/>
    <w:rsid w:val="001614D8"/>
    <w:rsid w:val="00161A69"/>
    <w:rsid w:val="00161BFF"/>
    <w:rsid w:val="00162056"/>
    <w:rsid w:val="001623EF"/>
    <w:rsid w:val="00162C0B"/>
    <w:rsid w:val="0016323D"/>
    <w:rsid w:val="001632FB"/>
    <w:rsid w:val="00163310"/>
    <w:rsid w:val="001633CE"/>
    <w:rsid w:val="0016343C"/>
    <w:rsid w:val="00163540"/>
    <w:rsid w:val="00165C76"/>
    <w:rsid w:val="00165E0A"/>
    <w:rsid w:val="001660B7"/>
    <w:rsid w:val="00166316"/>
    <w:rsid w:val="00166319"/>
    <w:rsid w:val="001664CA"/>
    <w:rsid w:val="0016684F"/>
    <w:rsid w:val="00166BA9"/>
    <w:rsid w:val="0016700D"/>
    <w:rsid w:val="001671CF"/>
    <w:rsid w:val="00167491"/>
    <w:rsid w:val="00167687"/>
    <w:rsid w:val="00167891"/>
    <w:rsid w:val="00167C9E"/>
    <w:rsid w:val="00167CD8"/>
    <w:rsid w:val="00167EB8"/>
    <w:rsid w:val="00167FAA"/>
    <w:rsid w:val="00167FBE"/>
    <w:rsid w:val="00167FDD"/>
    <w:rsid w:val="001703A0"/>
    <w:rsid w:val="00170991"/>
    <w:rsid w:val="00170A4B"/>
    <w:rsid w:val="00170E15"/>
    <w:rsid w:val="00170E70"/>
    <w:rsid w:val="001723D7"/>
    <w:rsid w:val="00172E48"/>
    <w:rsid w:val="00173719"/>
    <w:rsid w:val="001747EB"/>
    <w:rsid w:val="001747FB"/>
    <w:rsid w:val="00174879"/>
    <w:rsid w:val="0017489B"/>
    <w:rsid w:val="00174B36"/>
    <w:rsid w:val="00174D35"/>
    <w:rsid w:val="00175364"/>
    <w:rsid w:val="00175B59"/>
    <w:rsid w:val="00175DBA"/>
    <w:rsid w:val="00175F06"/>
    <w:rsid w:val="0017600F"/>
    <w:rsid w:val="00176F23"/>
    <w:rsid w:val="001770F1"/>
    <w:rsid w:val="0017797A"/>
    <w:rsid w:val="00180464"/>
    <w:rsid w:val="00180A46"/>
    <w:rsid w:val="00180B4B"/>
    <w:rsid w:val="00181180"/>
    <w:rsid w:val="00182103"/>
    <w:rsid w:val="001823B9"/>
    <w:rsid w:val="00182A18"/>
    <w:rsid w:val="00182B9D"/>
    <w:rsid w:val="00183ACA"/>
    <w:rsid w:val="00184103"/>
    <w:rsid w:val="00184632"/>
    <w:rsid w:val="00184694"/>
    <w:rsid w:val="00184B39"/>
    <w:rsid w:val="00185048"/>
    <w:rsid w:val="00185399"/>
    <w:rsid w:val="00185595"/>
    <w:rsid w:val="00185B8D"/>
    <w:rsid w:val="00187799"/>
    <w:rsid w:val="00190077"/>
    <w:rsid w:val="00190333"/>
    <w:rsid w:val="001906DB"/>
    <w:rsid w:val="0019079B"/>
    <w:rsid w:val="001910F4"/>
    <w:rsid w:val="00191237"/>
    <w:rsid w:val="0019150C"/>
    <w:rsid w:val="00192293"/>
    <w:rsid w:val="00192880"/>
    <w:rsid w:val="00192E96"/>
    <w:rsid w:val="00192F98"/>
    <w:rsid w:val="00193A14"/>
    <w:rsid w:val="00193A4B"/>
    <w:rsid w:val="00193BD5"/>
    <w:rsid w:val="00193CF7"/>
    <w:rsid w:val="00193D54"/>
    <w:rsid w:val="00194384"/>
    <w:rsid w:val="001948E7"/>
    <w:rsid w:val="00194C0A"/>
    <w:rsid w:val="00195940"/>
    <w:rsid w:val="001959E9"/>
    <w:rsid w:val="001967B2"/>
    <w:rsid w:val="00196D70"/>
    <w:rsid w:val="001971CB"/>
    <w:rsid w:val="0019720C"/>
    <w:rsid w:val="00197AD3"/>
    <w:rsid w:val="001A047F"/>
    <w:rsid w:val="001A0D3B"/>
    <w:rsid w:val="001A11E5"/>
    <w:rsid w:val="001A13B6"/>
    <w:rsid w:val="001A20C6"/>
    <w:rsid w:val="001A22C1"/>
    <w:rsid w:val="001A2616"/>
    <w:rsid w:val="001A27ED"/>
    <w:rsid w:val="001A2902"/>
    <w:rsid w:val="001A2B6B"/>
    <w:rsid w:val="001A34D7"/>
    <w:rsid w:val="001A397F"/>
    <w:rsid w:val="001A3A0A"/>
    <w:rsid w:val="001A4D76"/>
    <w:rsid w:val="001A5199"/>
    <w:rsid w:val="001A5AFA"/>
    <w:rsid w:val="001B000F"/>
    <w:rsid w:val="001B01CB"/>
    <w:rsid w:val="001B07B9"/>
    <w:rsid w:val="001B0ADE"/>
    <w:rsid w:val="001B10B4"/>
    <w:rsid w:val="001B1426"/>
    <w:rsid w:val="001B15BA"/>
    <w:rsid w:val="001B1A43"/>
    <w:rsid w:val="001B2766"/>
    <w:rsid w:val="001B28C7"/>
    <w:rsid w:val="001B2DF2"/>
    <w:rsid w:val="001B3C00"/>
    <w:rsid w:val="001B4269"/>
    <w:rsid w:val="001B4695"/>
    <w:rsid w:val="001B56E2"/>
    <w:rsid w:val="001B570A"/>
    <w:rsid w:val="001B57BC"/>
    <w:rsid w:val="001B599E"/>
    <w:rsid w:val="001B59A4"/>
    <w:rsid w:val="001B5A78"/>
    <w:rsid w:val="001B5CAF"/>
    <w:rsid w:val="001B765A"/>
    <w:rsid w:val="001B7735"/>
    <w:rsid w:val="001B7974"/>
    <w:rsid w:val="001B7B68"/>
    <w:rsid w:val="001C02E8"/>
    <w:rsid w:val="001C061E"/>
    <w:rsid w:val="001C129F"/>
    <w:rsid w:val="001C1F72"/>
    <w:rsid w:val="001C2213"/>
    <w:rsid w:val="001C2C8A"/>
    <w:rsid w:val="001C3694"/>
    <w:rsid w:val="001C3A3E"/>
    <w:rsid w:val="001C4996"/>
    <w:rsid w:val="001C4DFB"/>
    <w:rsid w:val="001C5F64"/>
    <w:rsid w:val="001C6181"/>
    <w:rsid w:val="001C6347"/>
    <w:rsid w:val="001C736C"/>
    <w:rsid w:val="001D05DC"/>
    <w:rsid w:val="001D1045"/>
    <w:rsid w:val="001D13E6"/>
    <w:rsid w:val="001D19C3"/>
    <w:rsid w:val="001D1AD9"/>
    <w:rsid w:val="001D1D29"/>
    <w:rsid w:val="001D1DCA"/>
    <w:rsid w:val="001D2687"/>
    <w:rsid w:val="001D26FF"/>
    <w:rsid w:val="001D29AB"/>
    <w:rsid w:val="001D2C5F"/>
    <w:rsid w:val="001D35C0"/>
    <w:rsid w:val="001D4279"/>
    <w:rsid w:val="001D447C"/>
    <w:rsid w:val="001D4AD4"/>
    <w:rsid w:val="001D4E3C"/>
    <w:rsid w:val="001D5006"/>
    <w:rsid w:val="001D5E51"/>
    <w:rsid w:val="001D6B45"/>
    <w:rsid w:val="001D744B"/>
    <w:rsid w:val="001E079A"/>
    <w:rsid w:val="001E081F"/>
    <w:rsid w:val="001E08DA"/>
    <w:rsid w:val="001E0EDB"/>
    <w:rsid w:val="001E15E5"/>
    <w:rsid w:val="001E15E8"/>
    <w:rsid w:val="001E198D"/>
    <w:rsid w:val="001E1B40"/>
    <w:rsid w:val="001E24EA"/>
    <w:rsid w:val="001E4804"/>
    <w:rsid w:val="001E486F"/>
    <w:rsid w:val="001E531B"/>
    <w:rsid w:val="001E54C0"/>
    <w:rsid w:val="001E551F"/>
    <w:rsid w:val="001E5D07"/>
    <w:rsid w:val="001E5DAC"/>
    <w:rsid w:val="001E6089"/>
    <w:rsid w:val="001E67C4"/>
    <w:rsid w:val="001E745B"/>
    <w:rsid w:val="001E7779"/>
    <w:rsid w:val="001E779F"/>
    <w:rsid w:val="001F0235"/>
    <w:rsid w:val="001F0698"/>
    <w:rsid w:val="001F1597"/>
    <w:rsid w:val="001F21EC"/>
    <w:rsid w:val="001F37A2"/>
    <w:rsid w:val="001F3E90"/>
    <w:rsid w:val="001F4750"/>
    <w:rsid w:val="001F573B"/>
    <w:rsid w:val="001F5C37"/>
    <w:rsid w:val="001F6302"/>
    <w:rsid w:val="001F64D7"/>
    <w:rsid w:val="001F66D3"/>
    <w:rsid w:val="001F7282"/>
    <w:rsid w:val="001F7744"/>
    <w:rsid w:val="002000EB"/>
    <w:rsid w:val="002005F7"/>
    <w:rsid w:val="002005FD"/>
    <w:rsid w:val="00200A45"/>
    <w:rsid w:val="00200EAC"/>
    <w:rsid w:val="0020169C"/>
    <w:rsid w:val="00201D2E"/>
    <w:rsid w:val="00202846"/>
    <w:rsid w:val="00202FBE"/>
    <w:rsid w:val="0020368C"/>
    <w:rsid w:val="002039D7"/>
    <w:rsid w:val="00203C61"/>
    <w:rsid w:val="00204871"/>
    <w:rsid w:val="00204C24"/>
    <w:rsid w:val="002057AA"/>
    <w:rsid w:val="00205C20"/>
    <w:rsid w:val="00205C76"/>
    <w:rsid w:val="00206353"/>
    <w:rsid w:val="002066CA"/>
    <w:rsid w:val="002068C9"/>
    <w:rsid w:val="00206BBF"/>
    <w:rsid w:val="00206FD0"/>
    <w:rsid w:val="0020766F"/>
    <w:rsid w:val="00207EF4"/>
    <w:rsid w:val="002103C7"/>
    <w:rsid w:val="00210810"/>
    <w:rsid w:val="00210962"/>
    <w:rsid w:val="00210DD3"/>
    <w:rsid w:val="00211045"/>
    <w:rsid w:val="00211448"/>
    <w:rsid w:val="0021160E"/>
    <w:rsid w:val="00211886"/>
    <w:rsid w:val="00211EF1"/>
    <w:rsid w:val="00212661"/>
    <w:rsid w:val="00212736"/>
    <w:rsid w:val="00212920"/>
    <w:rsid w:val="002132E5"/>
    <w:rsid w:val="002140E4"/>
    <w:rsid w:val="00214972"/>
    <w:rsid w:val="00215554"/>
    <w:rsid w:val="0021595C"/>
    <w:rsid w:val="002165B7"/>
    <w:rsid w:val="00217C10"/>
    <w:rsid w:val="00217F9A"/>
    <w:rsid w:val="002208C7"/>
    <w:rsid w:val="002210D5"/>
    <w:rsid w:val="002212B3"/>
    <w:rsid w:val="00221BAA"/>
    <w:rsid w:val="00221EF9"/>
    <w:rsid w:val="002227FF"/>
    <w:rsid w:val="00222B53"/>
    <w:rsid w:val="00223EEC"/>
    <w:rsid w:val="002244F6"/>
    <w:rsid w:val="002244FD"/>
    <w:rsid w:val="002247BB"/>
    <w:rsid w:val="00224A5E"/>
    <w:rsid w:val="00224BE7"/>
    <w:rsid w:val="00224DC1"/>
    <w:rsid w:val="00224E8B"/>
    <w:rsid w:val="00225129"/>
    <w:rsid w:val="0022535F"/>
    <w:rsid w:val="00226403"/>
    <w:rsid w:val="00226679"/>
    <w:rsid w:val="00226782"/>
    <w:rsid w:val="00226FE3"/>
    <w:rsid w:val="002272AB"/>
    <w:rsid w:val="00227555"/>
    <w:rsid w:val="00227847"/>
    <w:rsid w:val="002300AE"/>
    <w:rsid w:val="00230515"/>
    <w:rsid w:val="00230ABF"/>
    <w:rsid w:val="00230C01"/>
    <w:rsid w:val="00230E55"/>
    <w:rsid w:val="002311C5"/>
    <w:rsid w:val="00231891"/>
    <w:rsid w:val="00231899"/>
    <w:rsid w:val="002320ED"/>
    <w:rsid w:val="0023361F"/>
    <w:rsid w:val="002338C4"/>
    <w:rsid w:val="00233B11"/>
    <w:rsid w:val="00233B27"/>
    <w:rsid w:val="00233C8B"/>
    <w:rsid w:val="00235123"/>
    <w:rsid w:val="00235332"/>
    <w:rsid w:val="00235A66"/>
    <w:rsid w:val="00235EFE"/>
    <w:rsid w:val="0023622A"/>
    <w:rsid w:val="002363B1"/>
    <w:rsid w:val="00237263"/>
    <w:rsid w:val="00237837"/>
    <w:rsid w:val="002417D6"/>
    <w:rsid w:val="002417F9"/>
    <w:rsid w:val="00241B6E"/>
    <w:rsid w:val="00241BE0"/>
    <w:rsid w:val="00242210"/>
    <w:rsid w:val="00242CF9"/>
    <w:rsid w:val="00243660"/>
    <w:rsid w:val="00243A79"/>
    <w:rsid w:val="00243B1E"/>
    <w:rsid w:val="00243CCA"/>
    <w:rsid w:val="00243F23"/>
    <w:rsid w:val="00243FA4"/>
    <w:rsid w:val="0024427F"/>
    <w:rsid w:val="002443A9"/>
    <w:rsid w:val="00244441"/>
    <w:rsid w:val="002450DB"/>
    <w:rsid w:val="00245637"/>
    <w:rsid w:val="00245E94"/>
    <w:rsid w:val="00245ECC"/>
    <w:rsid w:val="0024667F"/>
    <w:rsid w:val="002471C5"/>
    <w:rsid w:val="002473BB"/>
    <w:rsid w:val="00247D0F"/>
    <w:rsid w:val="00247E8A"/>
    <w:rsid w:val="00250697"/>
    <w:rsid w:val="00250ECB"/>
    <w:rsid w:val="00251722"/>
    <w:rsid w:val="00251B16"/>
    <w:rsid w:val="00251C3A"/>
    <w:rsid w:val="0025231B"/>
    <w:rsid w:val="00252A43"/>
    <w:rsid w:val="002532D8"/>
    <w:rsid w:val="002534FD"/>
    <w:rsid w:val="00253E7F"/>
    <w:rsid w:val="00254781"/>
    <w:rsid w:val="0025636A"/>
    <w:rsid w:val="002564F9"/>
    <w:rsid w:val="00256A69"/>
    <w:rsid w:val="00256C8A"/>
    <w:rsid w:val="00256E1E"/>
    <w:rsid w:val="00257ED2"/>
    <w:rsid w:val="0026018C"/>
    <w:rsid w:val="00260508"/>
    <w:rsid w:val="00260A10"/>
    <w:rsid w:val="00261067"/>
    <w:rsid w:val="002610AB"/>
    <w:rsid w:val="002611AF"/>
    <w:rsid w:val="0026158D"/>
    <w:rsid w:val="002618E1"/>
    <w:rsid w:val="00261967"/>
    <w:rsid w:val="0026196A"/>
    <w:rsid w:val="002619F6"/>
    <w:rsid w:val="00262177"/>
    <w:rsid w:val="002621B0"/>
    <w:rsid w:val="0026240F"/>
    <w:rsid w:val="00262636"/>
    <w:rsid w:val="00262C3B"/>
    <w:rsid w:val="00263483"/>
    <w:rsid w:val="00263B9E"/>
    <w:rsid w:val="00264536"/>
    <w:rsid w:val="002646BC"/>
    <w:rsid w:val="00264C3C"/>
    <w:rsid w:val="00264D1C"/>
    <w:rsid w:val="002651C4"/>
    <w:rsid w:val="002652E2"/>
    <w:rsid w:val="0026533A"/>
    <w:rsid w:val="00265594"/>
    <w:rsid w:val="002656E7"/>
    <w:rsid w:val="00266427"/>
    <w:rsid w:val="0026698A"/>
    <w:rsid w:val="00266A37"/>
    <w:rsid w:val="00266A4E"/>
    <w:rsid w:val="0026788C"/>
    <w:rsid w:val="002703EE"/>
    <w:rsid w:val="00270BA6"/>
    <w:rsid w:val="00270D5A"/>
    <w:rsid w:val="00271094"/>
    <w:rsid w:val="00271495"/>
    <w:rsid w:val="00271BB0"/>
    <w:rsid w:val="00271CAD"/>
    <w:rsid w:val="00272239"/>
    <w:rsid w:val="0027254B"/>
    <w:rsid w:val="0027278D"/>
    <w:rsid w:val="0027284A"/>
    <w:rsid w:val="002733D4"/>
    <w:rsid w:val="0027386A"/>
    <w:rsid w:val="002743FA"/>
    <w:rsid w:val="00274620"/>
    <w:rsid w:val="00274BBB"/>
    <w:rsid w:val="00275399"/>
    <w:rsid w:val="0027566E"/>
    <w:rsid w:val="00275845"/>
    <w:rsid w:val="00275A35"/>
    <w:rsid w:val="00275BF2"/>
    <w:rsid w:val="00275D68"/>
    <w:rsid w:val="00276171"/>
    <w:rsid w:val="00276C62"/>
    <w:rsid w:val="0027752A"/>
    <w:rsid w:val="0027794D"/>
    <w:rsid w:val="00277A1C"/>
    <w:rsid w:val="00277C1C"/>
    <w:rsid w:val="00277D4A"/>
    <w:rsid w:val="00277E37"/>
    <w:rsid w:val="00277F43"/>
    <w:rsid w:val="002804EB"/>
    <w:rsid w:val="00281059"/>
    <w:rsid w:val="002811CB"/>
    <w:rsid w:val="00281554"/>
    <w:rsid w:val="00281A05"/>
    <w:rsid w:val="00281C4A"/>
    <w:rsid w:val="0028257A"/>
    <w:rsid w:val="0028272D"/>
    <w:rsid w:val="002828AC"/>
    <w:rsid w:val="00282C2E"/>
    <w:rsid w:val="00283AB1"/>
    <w:rsid w:val="00283AE9"/>
    <w:rsid w:val="00284AB7"/>
    <w:rsid w:val="00284D53"/>
    <w:rsid w:val="0028562A"/>
    <w:rsid w:val="002862DE"/>
    <w:rsid w:val="002865EA"/>
    <w:rsid w:val="0028777D"/>
    <w:rsid w:val="0028792F"/>
    <w:rsid w:val="00292686"/>
    <w:rsid w:val="00292729"/>
    <w:rsid w:val="00292E42"/>
    <w:rsid w:val="002930F0"/>
    <w:rsid w:val="0029317C"/>
    <w:rsid w:val="00293972"/>
    <w:rsid w:val="00294271"/>
    <w:rsid w:val="0029428F"/>
    <w:rsid w:val="00294CC4"/>
    <w:rsid w:val="00294DB4"/>
    <w:rsid w:val="00294E58"/>
    <w:rsid w:val="00296AA9"/>
    <w:rsid w:val="00296E94"/>
    <w:rsid w:val="00296F65"/>
    <w:rsid w:val="0029700A"/>
    <w:rsid w:val="00297699"/>
    <w:rsid w:val="002978BE"/>
    <w:rsid w:val="002A0F97"/>
    <w:rsid w:val="002A3893"/>
    <w:rsid w:val="002A3DE5"/>
    <w:rsid w:val="002A3E42"/>
    <w:rsid w:val="002A3EE0"/>
    <w:rsid w:val="002A4489"/>
    <w:rsid w:val="002A44A4"/>
    <w:rsid w:val="002A484E"/>
    <w:rsid w:val="002A60BD"/>
    <w:rsid w:val="002A68B2"/>
    <w:rsid w:val="002A6DAE"/>
    <w:rsid w:val="002A6EF8"/>
    <w:rsid w:val="002A7C98"/>
    <w:rsid w:val="002A7D91"/>
    <w:rsid w:val="002B0249"/>
    <w:rsid w:val="002B05DF"/>
    <w:rsid w:val="002B113A"/>
    <w:rsid w:val="002B1151"/>
    <w:rsid w:val="002B12F9"/>
    <w:rsid w:val="002B130B"/>
    <w:rsid w:val="002B1377"/>
    <w:rsid w:val="002B13D1"/>
    <w:rsid w:val="002B1735"/>
    <w:rsid w:val="002B1B82"/>
    <w:rsid w:val="002B3C30"/>
    <w:rsid w:val="002B3EB9"/>
    <w:rsid w:val="002B5224"/>
    <w:rsid w:val="002B596F"/>
    <w:rsid w:val="002B5A11"/>
    <w:rsid w:val="002B5EAA"/>
    <w:rsid w:val="002B6015"/>
    <w:rsid w:val="002B68AF"/>
    <w:rsid w:val="002B6F8C"/>
    <w:rsid w:val="002B706E"/>
    <w:rsid w:val="002B745C"/>
    <w:rsid w:val="002B7529"/>
    <w:rsid w:val="002B75CB"/>
    <w:rsid w:val="002B7983"/>
    <w:rsid w:val="002C0080"/>
    <w:rsid w:val="002C0E2C"/>
    <w:rsid w:val="002C112A"/>
    <w:rsid w:val="002C13AE"/>
    <w:rsid w:val="002C1BD4"/>
    <w:rsid w:val="002C1C92"/>
    <w:rsid w:val="002C1FF9"/>
    <w:rsid w:val="002C2097"/>
    <w:rsid w:val="002C28C0"/>
    <w:rsid w:val="002C2BAC"/>
    <w:rsid w:val="002C2BE4"/>
    <w:rsid w:val="002C3714"/>
    <w:rsid w:val="002C44A8"/>
    <w:rsid w:val="002C4F15"/>
    <w:rsid w:val="002C63C4"/>
    <w:rsid w:val="002C64C2"/>
    <w:rsid w:val="002C6A62"/>
    <w:rsid w:val="002C7682"/>
    <w:rsid w:val="002D091B"/>
    <w:rsid w:val="002D0AB4"/>
    <w:rsid w:val="002D1324"/>
    <w:rsid w:val="002D1405"/>
    <w:rsid w:val="002D2D74"/>
    <w:rsid w:val="002D3487"/>
    <w:rsid w:val="002D377F"/>
    <w:rsid w:val="002D37B7"/>
    <w:rsid w:val="002D3D34"/>
    <w:rsid w:val="002D407C"/>
    <w:rsid w:val="002D40B9"/>
    <w:rsid w:val="002D6287"/>
    <w:rsid w:val="002D6341"/>
    <w:rsid w:val="002D66F4"/>
    <w:rsid w:val="002D75A6"/>
    <w:rsid w:val="002D7C26"/>
    <w:rsid w:val="002D7F9A"/>
    <w:rsid w:val="002E0112"/>
    <w:rsid w:val="002E0647"/>
    <w:rsid w:val="002E167C"/>
    <w:rsid w:val="002E223A"/>
    <w:rsid w:val="002E27E0"/>
    <w:rsid w:val="002E2B2F"/>
    <w:rsid w:val="002E4450"/>
    <w:rsid w:val="002E478E"/>
    <w:rsid w:val="002E4DA4"/>
    <w:rsid w:val="002E525F"/>
    <w:rsid w:val="002E54A7"/>
    <w:rsid w:val="002E60B7"/>
    <w:rsid w:val="002E62E9"/>
    <w:rsid w:val="002E6375"/>
    <w:rsid w:val="002E6590"/>
    <w:rsid w:val="002E663C"/>
    <w:rsid w:val="002E7DC4"/>
    <w:rsid w:val="002F1774"/>
    <w:rsid w:val="002F17CD"/>
    <w:rsid w:val="002F1EC3"/>
    <w:rsid w:val="002F1F01"/>
    <w:rsid w:val="002F2215"/>
    <w:rsid w:val="002F2678"/>
    <w:rsid w:val="002F27B8"/>
    <w:rsid w:val="002F2DB7"/>
    <w:rsid w:val="002F3222"/>
    <w:rsid w:val="002F32CF"/>
    <w:rsid w:val="002F3396"/>
    <w:rsid w:val="002F37DE"/>
    <w:rsid w:val="002F3B21"/>
    <w:rsid w:val="002F3DA7"/>
    <w:rsid w:val="002F4141"/>
    <w:rsid w:val="002F53DF"/>
    <w:rsid w:val="002F5CD6"/>
    <w:rsid w:val="002F5E1F"/>
    <w:rsid w:val="002F68A4"/>
    <w:rsid w:val="002F7122"/>
    <w:rsid w:val="002F72FC"/>
    <w:rsid w:val="002F7538"/>
    <w:rsid w:val="002F7D8B"/>
    <w:rsid w:val="002F7ED7"/>
    <w:rsid w:val="0030043E"/>
    <w:rsid w:val="0030088A"/>
    <w:rsid w:val="00300A8E"/>
    <w:rsid w:val="0030139F"/>
    <w:rsid w:val="003013C2"/>
    <w:rsid w:val="0030156D"/>
    <w:rsid w:val="0030190B"/>
    <w:rsid w:val="00301DD8"/>
    <w:rsid w:val="00302401"/>
    <w:rsid w:val="003026B2"/>
    <w:rsid w:val="00302A3F"/>
    <w:rsid w:val="00302C2F"/>
    <w:rsid w:val="00303350"/>
    <w:rsid w:val="00303393"/>
    <w:rsid w:val="003037E8"/>
    <w:rsid w:val="00303B74"/>
    <w:rsid w:val="003042DE"/>
    <w:rsid w:val="003048AB"/>
    <w:rsid w:val="00304EC3"/>
    <w:rsid w:val="003055A0"/>
    <w:rsid w:val="0030585F"/>
    <w:rsid w:val="00305F64"/>
    <w:rsid w:val="00306B06"/>
    <w:rsid w:val="0030751A"/>
    <w:rsid w:val="0030774C"/>
    <w:rsid w:val="00307D3C"/>
    <w:rsid w:val="00307EA9"/>
    <w:rsid w:val="00307F9B"/>
    <w:rsid w:val="00310271"/>
    <w:rsid w:val="0031082C"/>
    <w:rsid w:val="0031090A"/>
    <w:rsid w:val="00310C18"/>
    <w:rsid w:val="003112DB"/>
    <w:rsid w:val="003118F7"/>
    <w:rsid w:val="00311EE9"/>
    <w:rsid w:val="00311FF1"/>
    <w:rsid w:val="003122C6"/>
    <w:rsid w:val="00312636"/>
    <w:rsid w:val="003137B8"/>
    <w:rsid w:val="003138A5"/>
    <w:rsid w:val="00313A64"/>
    <w:rsid w:val="003143E5"/>
    <w:rsid w:val="003147BE"/>
    <w:rsid w:val="00314DE9"/>
    <w:rsid w:val="003155AC"/>
    <w:rsid w:val="00315838"/>
    <w:rsid w:val="00315DA3"/>
    <w:rsid w:val="00315EBD"/>
    <w:rsid w:val="00316068"/>
    <w:rsid w:val="003167AE"/>
    <w:rsid w:val="0031683C"/>
    <w:rsid w:val="0031754B"/>
    <w:rsid w:val="003201D6"/>
    <w:rsid w:val="00320550"/>
    <w:rsid w:val="00320AF5"/>
    <w:rsid w:val="00320C8C"/>
    <w:rsid w:val="00320DF2"/>
    <w:rsid w:val="0032107A"/>
    <w:rsid w:val="00321E0F"/>
    <w:rsid w:val="003237D4"/>
    <w:rsid w:val="0032400C"/>
    <w:rsid w:val="0032419E"/>
    <w:rsid w:val="00324703"/>
    <w:rsid w:val="0032485B"/>
    <w:rsid w:val="003267AB"/>
    <w:rsid w:val="00327628"/>
    <w:rsid w:val="003277C6"/>
    <w:rsid w:val="003278BF"/>
    <w:rsid w:val="003279B1"/>
    <w:rsid w:val="00327E35"/>
    <w:rsid w:val="00330F96"/>
    <w:rsid w:val="00331A5D"/>
    <w:rsid w:val="00331F43"/>
    <w:rsid w:val="00332085"/>
    <w:rsid w:val="00332258"/>
    <w:rsid w:val="00332C71"/>
    <w:rsid w:val="00332E1C"/>
    <w:rsid w:val="00333483"/>
    <w:rsid w:val="00335234"/>
    <w:rsid w:val="003358AC"/>
    <w:rsid w:val="00335A67"/>
    <w:rsid w:val="00335ACF"/>
    <w:rsid w:val="003369E9"/>
    <w:rsid w:val="00336E00"/>
    <w:rsid w:val="00336ED2"/>
    <w:rsid w:val="00336EF0"/>
    <w:rsid w:val="00337337"/>
    <w:rsid w:val="003377EF"/>
    <w:rsid w:val="00337C86"/>
    <w:rsid w:val="0034066D"/>
    <w:rsid w:val="00340956"/>
    <w:rsid w:val="00341201"/>
    <w:rsid w:val="0034151E"/>
    <w:rsid w:val="003417A1"/>
    <w:rsid w:val="00341F7B"/>
    <w:rsid w:val="0034221D"/>
    <w:rsid w:val="00342971"/>
    <w:rsid w:val="00342CDD"/>
    <w:rsid w:val="003433E1"/>
    <w:rsid w:val="0034376F"/>
    <w:rsid w:val="0034379A"/>
    <w:rsid w:val="003444EA"/>
    <w:rsid w:val="00345D43"/>
    <w:rsid w:val="00345DA7"/>
    <w:rsid w:val="00345F3F"/>
    <w:rsid w:val="00346672"/>
    <w:rsid w:val="003466C2"/>
    <w:rsid w:val="00346AE9"/>
    <w:rsid w:val="0034755D"/>
    <w:rsid w:val="0034794F"/>
    <w:rsid w:val="00347A7B"/>
    <w:rsid w:val="00347D5B"/>
    <w:rsid w:val="003506A3"/>
    <w:rsid w:val="0035073E"/>
    <w:rsid w:val="00351508"/>
    <w:rsid w:val="003520F2"/>
    <w:rsid w:val="0035211F"/>
    <w:rsid w:val="00352912"/>
    <w:rsid w:val="00352DD2"/>
    <w:rsid w:val="00352F42"/>
    <w:rsid w:val="00353066"/>
    <w:rsid w:val="003534F2"/>
    <w:rsid w:val="00353A33"/>
    <w:rsid w:val="00353B13"/>
    <w:rsid w:val="00354271"/>
    <w:rsid w:val="00354501"/>
    <w:rsid w:val="0035523A"/>
    <w:rsid w:val="003552DE"/>
    <w:rsid w:val="003552EC"/>
    <w:rsid w:val="00355346"/>
    <w:rsid w:val="0035597C"/>
    <w:rsid w:val="00355D5A"/>
    <w:rsid w:val="0035733C"/>
    <w:rsid w:val="00357450"/>
    <w:rsid w:val="0036024D"/>
    <w:rsid w:val="003602E7"/>
    <w:rsid w:val="00360878"/>
    <w:rsid w:val="00360F9E"/>
    <w:rsid w:val="003617E9"/>
    <w:rsid w:val="00361AD2"/>
    <w:rsid w:val="00363320"/>
    <w:rsid w:val="0036364D"/>
    <w:rsid w:val="0036369C"/>
    <w:rsid w:val="00363892"/>
    <w:rsid w:val="00363BA9"/>
    <w:rsid w:val="003646B0"/>
    <w:rsid w:val="00364B65"/>
    <w:rsid w:val="003654EB"/>
    <w:rsid w:val="00365D1B"/>
    <w:rsid w:val="00365D1E"/>
    <w:rsid w:val="003662D4"/>
    <w:rsid w:val="0036650E"/>
    <w:rsid w:val="003672B7"/>
    <w:rsid w:val="00367E3B"/>
    <w:rsid w:val="00367FDE"/>
    <w:rsid w:val="00370DCA"/>
    <w:rsid w:val="003715A2"/>
    <w:rsid w:val="003720F8"/>
    <w:rsid w:val="00372368"/>
    <w:rsid w:val="003725EF"/>
    <w:rsid w:val="003731BD"/>
    <w:rsid w:val="003735EF"/>
    <w:rsid w:val="003739FC"/>
    <w:rsid w:val="00373CCB"/>
    <w:rsid w:val="00373ED7"/>
    <w:rsid w:val="003749B0"/>
    <w:rsid w:val="00374C56"/>
    <w:rsid w:val="00376C06"/>
    <w:rsid w:val="003779B7"/>
    <w:rsid w:val="00377D23"/>
    <w:rsid w:val="00380240"/>
    <w:rsid w:val="00380684"/>
    <w:rsid w:val="003812C2"/>
    <w:rsid w:val="00381419"/>
    <w:rsid w:val="00381751"/>
    <w:rsid w:val="003825B1"/>
    <w:rsid w:val="00382C4F"/>
    <w:rsid w:val="00382F7D"/>
    <w:rsid w:val="0038304A"/>
    <w:rsid w:val="003830F2"/>
    <w:rsid w:val="003831BB"/>
    <w:rsid w:val="00383416"/>
    <w:rsid w:val="0038386C"/>
    <w:rsid w:val="00383AEB"/>
    <w:rsid w:val="00384A3E"/>
    <w:rsid w:val="00384F1E"/>
    <w:rsid w:val="00384FAC"/>
    <w:rsid w:val="00385164"/>
    <w:rsid w:val="0038543F"/>
    <w:rsid w:val="00385638"/>
    <w:rsid w:val="0038587C"/>
    <w:rsid w:val="00385AE3"/>
    <w:rsid w:val="00385B90"/>
    <w:rsid w:val="00386F51"/>
    <w:rsid w:val="003873EC"/>
    <w:rsid w:val="003877FA"/>
    <w:rsid w:val="0039079D"/>
    <w:rsid w:val="00390BBB"/>
    <w:rsid w:val="00391051"/>
    <w:rsid w:val="003915D3"/>
    <w:rsid w:val="00391722"/>
    <w:rsid w:val="003918C2"/>
    <w:rsid w:val="0039213F"/>
    <w:rsid w:val="0039302C"/>
    <w:rsid w:val="003930E4"/>
    <w:rsid w:val="00393125"/>
    <w:rsid w:val="00393B51"/>
    <w:rsid w:val="00393D4D"/>
    <w:rsid w:val="0039486E"/>
    <w:rsid w:val="00394DD4"/>
    <w:rsid w:val="00394E10"/>
    <w:rsid w:val="00395136"/>
    <w:rsid w:val="00395356"/>
    <w:rsid w:val="00395642"/>
    <w:rsid w:val="00395D07"/>
    <w:rsid w:val="0039625A"/>
    <w:rsid w:val="00396A8F"/>
    <w:rsid w:val="00396DE8"/>
    <w:rsid w:val="00396E03"/>
    <w:rsid w:val="00397213"/>
    <w:rsid w:val="003977A3"/>
    <w:rsid w:val="00397B3F"/>
    <w:rsid w:val="00397E52"/>
    <w:rsid w:val="003A050D"/>
    <w:rsid w:val="003A0C00"/>
    <w:rsid w:val="003A0E36"/>
    <w:rsid w:val="003A117A"/>
    <w:rsid w:val="003A13A2"/>
    <w:rsid w:val="003A1870"/>
    <w:rsid w:val="003A2214"/>
    <w:rsid w:val="003A2282"/>
    <w:rsid w:val="003A2290"/>
    <w:rsid w:val="003A2350"/>
    <w:rsid w:val="003A3841"/>
    <w:rsid w:val="003A3BC0"/>
    <w:rsid w:val="003A3DF1"/>
    <w:rsid w:val="003A3FE5"/>
    <w:rsid w:val="003A4221"/>
    <w:rsid w:val="003A4343"/>
    <w:rsid w:val="003A5977"/>
    <w:rsid w:val="003A5E3A"/>
    <w:rsid w:val="003A61A8"/>
    <w:rsid w:val="003A6CD3"/>
    <w:rsid w:val="003B00D4"/>
    <w:rsid w:val="003B030F"/>
    <w:rsid w:val="003B0AB5"/>
    <w:rsid w:val="003B0E7D"/>
    <w:rsid w:val="003B1525"/>
    <w:rsid w:val="003B1D7D"/>
    <w:rsid w:val="003B1EF7"/>
    <w:rsid w:val="003B1FB9"/>
    <w:rsid w:val="003B2492"/>
    <w:rsid w:val="003B2805"/>
    <w:rsid w:val="003B2C01"/>
    <w:rsid w:val="003B2F20"/>
    <w:rsid w:val="003B2F26"/>
    <w:rsid w:val="003B384A"/>
    <w:rsid w:val="003B3B51"/>
    <w:rsid w:val="003B3B97"/>
    <w:rsid w:val="003B40B4"/>
    <w:rsid w:val="003B4338"/>
    <w:rsid w:val="003B573B"/>
    <w:rsid w:val="003B574D"/>
    <w:rsid w:val="003B59F9"/>
    <w:rsid w:val="003B5B18"/>
    <w:rsid w:val="003B5E91"/>
    <w:rsid w:val="003B635A"/>
    <w:rsid w:val="003B6BED"/>
    <w:rsid w:val="003B6C70"/>
    <w:rsid w:val="003B6EA9"/>
    <w:rsid w:val="003B7026"/>
    <w:rsid w:val="003B7C67"/>
    <w:rsid w:val="003B7D50"/>
    <w:rsid w:val="003B7E52"/>
    <w:rsid w:val="003C017E"/>
    <w:rsid w:val="003C02AD"/>
    <w:rsid w:val="003C06C4"/>
    <w:rsid w:val="003C1441"/>
    <w:rsid w:val="003C14F9"/>
    <w:rsid w:val="003C1B9D"/>
    <w:rsid w:val="003C1BBD"/>
    <w:rsid w:val="003C25CD"/>
    <w:rsid w:val="003C28FA"/>
    <w:rsid w:val="003C292B"/>
    <w:rsid w:val="003C29CE"/>
    <w:rsid w:val="003C3B3F"/>
    <w:rsid w:val="003C3D16"/>
    <w:rsid w:val="003C44CC"/>
    <w:rsid w:val="003C48A9"/>
    <w:rsid w:val="003C48AB"/>
    <w:rsid w:val="003C4BDA"/>
    <w:rsid w:val="003C4DED"/>
    <w:rsid w:val="003C4EEE"/>
    <w:rsid w:val="003C5371"/>
    <w:rsid w:val="003C5803"/>
    <w:rsid w:val="003C5917"/>
    <w:rsid w:val="003C6B1B"/>
    <w:rsid w:val="003C6D66"/>
    <w:rsid w:val="003C7554"/>
    <w:rsid w:val="003C7AE6"/>
    <w:rsid w:val="003C7D1B"/>
    <w:rsid w:val="003D0E86"/>
    <w:rsid w:val="003D17D8"/>
    <w:rsid w:val="003D1848"/>
    <w:rsid w:val="003D1C2B"/>
    <w:rsid w:val="003D1C91"/>
    <w:rsid w:val="003D2027"/>
    <w:rsid w:val="003D25ED"/>
    <w:rsid w:val="003D2CD5"/>
    <w:rsid w:val="003D2D9F"/>
    <w:rsid w:val="003D33F5"/>
    <w:rsid w:val="003D345D"/>
    <w:rsid w:val="003D3A94"/>
    <w:rsid w:val="003D4C35"/>
    <w:rsid w:val="003D52BE"/>
    <w:rsid w:val="003D560D"/>
    <w:rsid w:val="003D615C"/>
    <w:rsid w:val="003D6328"/>
    <w:rsid w:val="003D6539"/>
    <w:rsid w:val="003D77A5"/>
    <w:rsid w:val="003D7D27"/>
    <w:rsid w:val="003E0079"/>
    <w:rsid w:val="003E05F3"/>
    <w:rsid w:val="003E06FC"/>
    <w:rsid w:val="003E14E7"/>
    <w:rsid w:val="003E17C2"/>
    <w:rsid w:val="003E2081"/>
    <w:rsid w:val="003E2087"/>
    <w:rsid w:val="003E2172"/>
    <w:rsid w:val="003E23B4"/>
    <w:rsid w:val="003E399B"/>
    <w:rsid w:val="003E3B7C"/>
    <w:rsid w:val="003E42DF"/>
    <w:rsid w:val="003E457C"/>
    <w:rsid w:val="003E477B"/>
    <w:rsid w:val="003E50B6"/>
    <w:rsid w:val="003E5209"/>
    <w:rsid w:val="003E5560"/>
    <w:rsid w:val="003E5695"/>
    <w:rsid w:val="003E5B51"/>
    <w:rsid w:val="003E5E29"/>
    <w:rsid w:val="003E6417"/>
    <w:rsid w:val="003E6717"/>
    <w:rsid w:val="003E6E80"/>
    <w:rsid w:val="003E7C5C"/>
    <w:rsid w:val="003F0B3C"/>
    <w:rsid w:val="003F0CFC"/>
    <w:rsid w:val="003F0EDB"/>
    <w:rsid w:val="003F14CC"/>
    <w:rsid w:val="003F1B38"/>
    <w:rsid w:val="003F1DD9"/>
    <w:rsid w:val="003F22A7"/>
    <w:rsid w:val="003F2EAF"/>
    <w:rsid w:val="003F361C"/>
    <w:rsid w:val="003F3C63"/>
    <w:rsid w:val="003F3CEC"/>
    <w:rsid w:val="003F3D11"/>
    <w:rsid w:val="003F3F99"/>
    <w:rsid w:val="003F4893"/>
    <w:rsid w:val="003F49EB"/>
    <w:rsid w:val="003F5639"/>
    <w:rsid w:val="003F56A8"/>
    <w:rsid w:val="003F5BC6"/>
    <w:rsid w:val="003F5E6C"/>
    <w:rsid w:val="003F5E7D"/>
    <w:rsid w:val="003F614A"/>
    <w:rsid w:val="003F6511"/>
    <w:rsid w:val="003F6BDC"/>
    <w:rsid w:val="003F6CD8"/>
    <w:rsid w:val="003F734A"/>
    <w:rsid w:val="0040085C"/>
    <w:rsid w:val="00400F9C"/>
    <w:rsid w:val="00401903"/>
    <w:rsid w:val="00401A73"/>
    <w:rsid w:val="00401ED6"/>
    <w:rsid w:val="00402141"/>
    <w:rsid w:val="004025BF"/>
    <w:rsid w:val="00402C58"/>
    <w:rsid w:val="00403420"/>
    <w:rsid w:val="00403783"/>
    <w:rsid w:val="00404B2C"/>
    <w:rsid w:val="00405A4B"/>
    <w:rsid w:val="0040672B"/>
    <w:rsid w:val="00406F3C"/>
    <w:rsid w:val="00407978"/>
    <w:rsid w:val="004106ED"/>
    <w:rsid w:val="00410977"/>
    <w:rsid w:val="00411FA2"/>
    <w:rsid w:val="0041201D"/>
    <w:rsid w:val="00412449"/>
    <w:rsid w:val="004124B7"/>
    <w:rsid w:val="00412C65"/>
    <w:rsid w:val="00413203"/>
    <w:rsid w:val="00413355"/>
    <w:rsid w:val="004135B3"/>
    <w:rsid w:val="00413E07"/>
    <w:rsid w:val="00415C52"/>
    <w:rsid w:val="00415DE2"/>
    <w:rsid w:val="0041602E"/>
    <w:rsid w:val="0041679A"/>
    <w:rsid w:val="00416911"/>
    <w:rsid w:val="004169B9"/>
    <w:rsid w:val="00416A32"/>
    <w:rsid w:val="004175B6"/>
    <w:rsid w:val="00417714"/>
    <w:rsid w:val="00417BB4"/>
    <w:rsid w:val="00417D16"/>
    <w:rsid w:val="00417E1D"/>
    <w:rsid w:val="00420545"/>
    <w:rsid w:val="00420CB5"/>
    <w:rsid w:val="00420F3A"/>
    <w:rsid w:val="00420F56"/>
    <w:rsid w:val="00421013"/>
    <w:rsid w:val="00421675"/>
    <w:rsid w:val="00421A7F"/>
    <w:rsid w:val="00421ED1"/>
    <w:rsid w:val="0042206B"/>
    <w:rsid w:val="0042213E"/>
    <w:rsid w:val="00422146"/>
    <w:rsid w:val="00422ED6"/>
    <w:rsid w:val="004237E2"/>
    <w:rsid w:val="004239FF"/>
    <w:rsid w:val="00423A39"/>
    <w:rsid w:val="00423C08"/>
    <w:rsid w:val="004244D4"/>
    <w:rsid w:val="00424647"/>
    <w:rsid w:val="00424735"/>
    <w:rsid w:val="0042474B"/>
    <w:rsid w:val="004253CF"/>
    <w:rsid w:val="00425437"/>
    <w:rsid w:val="00425724"/>
    <w:rsid w:val="00425AED"/>
    <w:rsid w:val="00425E97"/>
    <w:rsid w:val="00426B1C"/>
    <w:rsid w:val="00426B82"/>
    <w:rsid w:val="00426E37"/>
    <w:rsid w:val="004279EA"/>
    <w:rsid w:val="00427ED8"/>
    <w:rsid w:val="00427FF2"/>
    <w:rsid w:val="00430489"/>
    <w:rsid w:val="00430998"/>
    <w:rsid w:val="004309C8"/>
    <w:rsid w:val="00430B6C"/>
    <w:rsid w:val="00430B7F"/>
    <w:rsid w:val="00430EA4"/>
    <w:rsid w:val="00430F36"/>
    <w:rsid w:val="004314A2"/>
    <w:rsid w:val="00431E54"/>
    <w:rsid w:val="004323CD"/>
    <w:rsid w:val="004323D0"/>
    <w:rsid w:val="00432A8E"/>
    <w:rsid w:val="00432B6E"/>
    <w:rsid w:val="00432E67"/>
    <w:rsid w:val="00434403"/>
    <w:rsid w:val="0043456C"/>
    <w:rsid w:val="004349F7"/>
    <w:rsid w:val="00434D0D"/>
    <w:rsid w:val="004350BA"/>
    <w:rsid w:val="00435802"/>
    <w:rsid w:val="00435A1B"/>
    <w:rsid w:val="00436860"/>
    <w:rsid w:val="00436BBA"/>
    <w:rsid w:val="00436D25"/>
    <w:rsid w:val="004375A1"/>
    <w:rsid w:val="00440413"/>
    <w:rsid w:val="004404A2"/>
    <w:rsid w:val="0044074A"/>
    <w:rsid w:val="00440F98"/>
    <w:rsid w:val="004416A0"/>
    <w:rsid w:val="00441AF8"/>
    <w:rsid w:val="00441B06"/>
    <w:rsid w:val="004423DE"/>
    <w:rsid w:val="00442A1A"/>
    <w:rsid w:val="00442C1F"/>
    <w:rsid w:val="00442DCC"/>
    <w:rsid w:val="004432DF"/>
    <w:rsid w:val="00443B7C"/>
    <w:rsid w:val="00444495"/>
    <w:rsid w:val="00444509"/>
    <w:rsid w:val="00444844"/>
    <w:rsid w:val="00445DEB"/>
    <w:rsid w:val="00446094"/>
    <w:rsid w:val="0044666B"/>
    <w:rsid w:val="00446AD8"/>
    <w:rsid w:val="00446C86"/>
    <w:rsid w:val="00446E8D"/>
    <w:rsid w:val="004470F7"/>
    <w:rsid w:val="00447576"/>
    <w:rsid w:val="00447A29"/>
    <w:rsid w:val="00447EA3"/>
    <w:rsid w:val="00450243"/>
    <w:rsid w:val="00450951"/>
    <w:rsid w:val="00450DD9"/>
    <w:rsid w:val="00450FD5"/>
    <w:rsid w:val="004514A2"/>
    <w:rsid w:val="00451FAA"/>
    <w:rsid w:val="004535F3"/>
    <w:rsid w:val="00453AA8"/>
    <w:rsid w:val="004541FD"/>
    <w:rsid w:val="0045489F"/>
    <w:rsid w:val="00454C7E"/>
    <w:rsid w:val="00454D1F"/>
    <w:rsid w:val="004551DC"/>
    <w:rsid w:val="004553EC"/>
    <w:rsid w:val="0045558E"/>
    <w:rsid w:val="0045580C"/>
    <w:rsid w:val="004559EF"/>
    <w:rsid w:val="004567AC"/>
    <w:rsid w:val="00456D4A"/>
    <w:rsid w:val="00457730"/>
    <w:rsid w:val="00457ACC"/>
    <w:rsid w:val="00457D6A"/>
    <w:rsid w:val="004600F6"/>
    <w:rsid w:val="00460457"/>
    <w:rsid w:val="00460B08"/>
    <w:rsid w:val="00460C91"/>
    <w:rsid w:val="00460D19"/>
    <w:rsid w:val="00461421"/>
    <w:rsid w:val="004617BA"/>
    <w:rsid w:val="00461BC7"/>
    <w:rsid w:val="00461C6C"/>
    <w:rsid w:val="00461E39"/>
    <w:rsid w:val="00463A4F"/>
    <w:rsid w:val="0046403C"/>
    <w:rsid w:val="00464F80"/>
    <w:rsid w:val="00464FF5"/>
    <w:rsid w:val="004651F3"/>
    <w:rsid w:val="00466BDF"/>
    <w:rsid w:val="004676F6"/>
    <w:rsid w:val="0047006B"/>
    <w:rsid w:val="00470A44"/>
    <w:rsid w:val="00470E31"/>
    <w:rsid w:val="00470EB6"/>
    <w:rsid w:val="004715E1"/>
    <w:rsid w:val="00471613"/>
    <w:rsid w:val="00471A4D"/>
    <w:rsid w:val="00471AB2"/>
    <w:rsid w:val="00471E45"/>
    <w:rsid w:val="00471E6F"/>
    <w:rsid w:val="00472254"/>
    <w:rsid w:val="0047232A"/>
    <w:rsid w:val="004723FC"/>
    <w:rsid w:val="004730F6"/>
    <w:rsid w:val="004732E0"/>
    <w:rsid w:val="00473874"/>
    <w:rsid w:val="00474027"/>
    <w:rsid w:val="004742D9"/>
    <w:rsid w:val="00474822"/>
    <w:rsid w:val="004756C6"/>
    <w:rsid w:val="00475B8C"/>
    <w:rsid w:val="00476048"/>
    <w:rsid w:val="00476711"/>
    <w:rsid w:val="0047716A"/>
    <w:rsid w:val="0047767B"/>
    <w:rsid w:val="00477A5B"/>
    <w:rsid w:val="004807A0"/>
    <w:rsid w:val="00480EBB"/>
    <w:rsid w:val="004810CF"/>
    <w:rsid w:val="00481340"/>
    <w:rsid w:val="004814B3"/>
    <w:rsid w:val="004818A1"/>
    <w:rsid w:val="00482465"/>
    <w:rsid w:val="004828B2"/>
    <w:rsid w:val="00482C3D"/>
    <w:rsid w:val="004835A5"/>
    <w:rsid w:val="00483858"/>
    <w:rsid w:val="00483AF3"/>
    <w:rsid w:val="00483E9E"/>
    <w:rsid w:val="00484066"/>
    <w:rsid w:val="004842C0"/>
    <w:rsid w:val="00484A4E"/>
    <w:rsid w:val="00484ABB"/>
    <w:rsid w:val="00484F00"/>
    <w:rsid w:val="00485453"/>
    <w:rsid w:val="00485A12"/>
    <w:rsid w:val="00485CF8"/>
    <w:rsid w:val="0048614A"/>
    <w:rsid w:val="00486F36"/>
    <w:rsid w:val="00487403"/>
    <w:rsid w:val="0048765E"/>
    <w:rsid w:val="00490A4A"/>
    <w:rsid w:val="00490BD2"/>
    <w:rsid w:val="00491427"/>
    <w:rsid w:val="0049192C"/>
    <w:rsid w:val="00491BE4"/>
    <w:rsid w:val="00491F82"/>
    <w:rsid w:val="0049220C"/>
    <w:rsid w:val="00492302"/>
    <w:rsid w:val="004926AA"/>
    <w:rsid w:val="00492783"/>
    <w:rsid w:val="00492EC6"/>
    <w:rsid w:val="004931A3"/>
    <w:rsid w:val="00493428"/>
    <w:rsid w:val="00493C5A"/>
    <w:rsid w:val="00493FBF"/>
    <w:rsid w:val="0049568D"/>
    <w:rsid w:val="004959DC"/>
    <w:rsid w:val="00495A78"/>
    <w:rsid w:val="004964F6"/>
    <w:rsid w:val="004975D3"/>
    <w:rsid w:val="004A13A5"/>
    <w:rsid w:val="004A211E"/>
    <w:rsid w:val="004A24F2"/>
    <w:rsid w:val="004A294B"/>
    <w:rsid w:val="004A2E90"/>
    <w:rsid w:val="004A2FF1"/>
    <w:rsid w:val="004A4236"/>
    <w:rsid w:val="004A423E"/>
    <w:rsid w:val="004A47D7"/>
    <w:rsid w:val="004A52D6"/>
    <w:rsid w:val="004A575D"/>
    <w:rsid w:val="004A5760"/>
    <w:rsid w:val="004A6626"/>
    <w:rsid w:val="004A6663"/>
    <w:rsid w:val="004A68A5"/>
    <w:rsid w:val="004A6D0F"/>
    <w:rsid w:val="004A6FC8"/>
    <w:rsid w:val="004A764F"/>
    <w:rsid w:val="004A7B47"/>
    <w:rsid w:val="004A7B8D"/>
    <w:rsid w:val="004B022E"/>
    <w:rsid w:val="004B0EA3"/>
    <w:rsid w:val="004B2CA3"/>
    <w:rsid w:val="004B35E9"/>
    <w:rsid w:val="004B3A98"/>
    <w:rsid w:val="004B3BF8"/>
    <w:rsid w:val="004B4635"/>
    <w:rsid w:val="004B59F9"/>
    <w:rsid w:val="004B5A8F"/>
    <w:rsid w:val="004B60B9"/>
    <w:rsid w:val="004B667B"/>
    <w:rsid w:val="004B677C"/>
    <w:rsid w:val="004B6FB0"/>
    <w:rsid w:val="004B72C1"/>
    <w:rsid w:val="004C0BCE"/>
    <w:rsid w:val="004C0C66"/>
    <w:rsid w:val="004C0D32"/>
    <w:rsid w:val="004C0D68"/>
    <w:rsid w:val="004C0F9B"/>
    <w:rsid w:val="004C108B"/>
    <w:rsid w:val="004C120F"/>
    <w:rsid w:val="004C1AC5"/>
    <w:rsid w:val="004C1E26"/>
    <w:rsid w:val="004C23A0"/>
    <w:rsid w:val="004C2506"/>
    <w:rsid w:val="004C2741"/>
    <w:rsid w:val="004C28FA"/>
    <w:rsid w:val="004C30CB"/>
    <w:rsid w:val="004C3408"/>
    <w:rsid w:val="004C3A34"/>
    <w:rsid w:val="004C3C75"/>
    <w:rsid w:val="004C3D1C"/>
    <w:rsid w:val="004C3D63"/>
    <w:rsid w:val="004C4D5D"/>
    <w:rsid w:val="004C4EEE"/>
    <w:rsid w:val="004C5984"/>
    <w:rsid w:val="004C5F5C"/>
    <w:rsid w:val="004C66C7"/>
    <w:rsid w:val="004D0A7F"/>
    <w:rsid w:val="004D11BC"/>
    <w:rsid w:val="004D1ED3"/>
    <w:rsid w:val="004D1F46"/>
    <w:rsid w:val="004D2648"/>
    <w:rsid w:val="004D273F"/>
    <w:rsid w:val="004D2869"/>
    <w:rsid w:val="004D291C"/>
    <w:rsid w:val="004D2940"/>
    <w:rsid w:val="004D34CA"/>
    <w:rsid w:val="004D3724"/>
    <w:rsid w:val="004D4106"/>
    <w:rsid w:val="004D4529"/>
    <w:rsid w:val="004D45E9"/>
    <w:rsid w:val="004D487E"/>
    <w:rsid w:val="004D489F"/>
    <w:rsid w:val="004D4ACB"/>
    <w:rsid w:val="004D55F2"/>
    <w:rsid w:val="004D587F"/>
    <w:rsid w:val="004D5BB2"/>
    <w:rsid w:val="004D5D1A"/>
    <w:rsid w:val="004D5D79"/>
    <w:rsid w:val="004D600D"/>
    <w:rsid w:val="004D6AEA"/>
    <w:rsid w:val="004D76ED"/>
    <w:rsid w:val="004D79B1"/>
    <w:rsid w:val="004D7C48"/>
    <w:rsid w:val="004D7D67"/>
    <w:rsid w:val="004E0020"/>
    <w:rsid w:val="004E0357"/>
    <w:rsid w:val="004E0770"/>
    <w:rsid w:val="004E0A8C"/>
    <w:rsid w:val="004E0EA4"/>
    <w:rsid w:val="004E111C"/>
    <w:rsid w:val="004E1456"/>
    <w:rsid w:val="004E18AB"/>
    <w:rsid w:val="004E23DD"/>
    <w:rsid w:val="004E276C"/>
    <w:rsid w:val="004E27A6"/>
    <w:rsid w:val="004E2C7B"/>
    <w:rsid w:val="004E2D2D"/>
    <w:rsid w:val="004E3690"/>
    <w:rsid w:val="004E372C"/>
    <w:rsid w:val="004E427E"/>
    <w:rsid w:val="004E4484"/>
    <w:rsid w:val="004E46F6"/>
    <w:rsid w:val="004E4797"/>
    <w:rsid w:val="004E49C7"/>
    <w:rsid w:val="004E5438"/>
    <w:rsid w:val="004E5B05"/>
    <w:rsid w:val="004E5B30"/>
    <w:rsid w:val="004E63E5"/>
    <w:rsid w:val="004E6686"/>
    <w:rsid w:val="004E6763"/>
    <w:rsid w:val="004E6C70"/>
    <w:rsid w:val="004E7C5C"/>
    <w:rsid w:val="004E7E80"/>
    <w:rsid w:val="004F0EA3"/>
    <w:rsid w:val="004F0F5F"/>
    <w:rsid w:val="004F1036"/>
    <w:rsid w:val="004F1952"/>
    <w:rsid w:val="004F1B8E"/>
    <w:rsid w:val="004F1CE6"/>
    <w:rsid w:val="004F236E"/>
    <w:rsid w:val="004F275E"/>
    <w:rsid w:val="004F2EEE"/>
    <w:rsid w:val="004F4635"/>
    <w:rsid w:val="004F48D3"/>
    <w:rsid w:val="004F4C38"/>
    <w:rsid w:val="004F52EC"/>
    <w:rsid w:val="004F5506"/>
    <w:rsid w:val="004F5B9D"/>
    <w:rsid w:val="004F68F8"/>
    <w:rsid w:val="004F6BEB"/>
    <w:rsid w:val="004F6D60"/>
    <w:rsid w:val="004F7985"/>
    <w:rsid w:val="005009E7"/>
    <w:rsid w:val="00500AED"/>
    <w:rsid w:val="005012B3"/>
    <w:rsid w:val="0050154C"/>
    <w:rsid w:val="0050170B"/>
    <w:rsid w:val="00501A5B"/>
    <w:rsid w:val="00501C42"/>
    <w:rsid w:val="005029EA"/>
    <w:rsid w:val="00502F33"/>
    <w:rsid w:val="005033FB"/>
    <w:rsid w:val="0050352B"/>
    <w:rsid w:val="00504C70"/>
    <w:rsid w:val="005054CE"/>
    <w:rsid w:val="005055AD"/>
    <w:rsid w:val="00505A02"/>
    <w:rsid w:val="00505A25"/>
    <w:rsid w:val="00505C93"/>
    <w:rsid w:val="005068C9"/>
    <w:rsid w:val="00507395"/>
    <w:rsid w:val="005077EC"/>
    <w:rsid w:val="005078A9"/>
    <w:rsid w:val="00507AB2"/>
    <w:rsid w:val="00507D67"/>
    <w:rsid w:val="00510A1A"/>
    <w:rsid w:val="005114C1"/>
    <w:rsid w:val="00511695"/>
    <w:rsid w:val="005117B1"/>
    <w:rsid w:val="00511C95"/>
    <w:rsid w:val="0051213E"/>
    <w:rsid w:val="00512536"/>
    <w:rsid w:val="00512D7D"/>
    <w:rsid w:val="00513571"/>
    <w:rsid w:val="00513AF3"/>
    <w:rsid w:val="005144CB"/>
    <w:rsid w:val="005147EC"/>
    <w:rsid w:val="00514DE6"/>
    <w:rsid w:val="00516615"/>
    <w:rsid w:val="005169FE"/>
    <w:rsid w:val="00516DB9"/>
    <w:rsid w:val="00517357"/>
    <w:rsid w:val="005177D9"/>
    <w:rsid w:val="005203BD"/>
    <w:rsid w:val="00521000"/>
    <w:rsid w:val="00521384"/>
    <w:rsid w:val="00521AA6"/>
    <w:rsid w:val="00521C2B"/>
    <w:rsid w:val="0052206C"/>
    <w:rsid w:val="0052214D"/>
    <w:rsid w:val="005226FB"/>
    <w:rsid w:val="00522C59"/>
    <w:rsid w:val="00523E8D"/>
    <w:rsid w:val="005241F0"/>
    <w:rsid w:val="005243CA"/>
    <w:rsid w:val="00524EF6"/>
    <w:rsid w:val="00525280"/>
    <w:rsid w:val="0052565D"/>
    <w:rsid w:val="005263F5"/>
    <w:rsid w:val="00526407"/>
    <w:rsid w:val="0052642A"/>
    <w:rsid w:val="005264A6"/>
    <w:rsid w:val="005266AC"/>
    <w:rsid w:val="00526ACD"/>
    <w:rsid w:val="00526DCA"/>
    <w:rsid w:val="00527FBD"/>
    <w:rsid w:val="0053048D"/>
    <w:rsid w:val="00530E63"/>
    <w:rsid w:val="005310FB"/>
    <w:rsid w:val="00531B2A"/>
    <w:rsid w:val="0053256F"/>
    <w:rsid w:val="005337BB"/>
    <w:rsid w:val="00533FC9"/>
    <w:rsid w:val="005346F9"/>
    <w:rsid w:val="0053524F"/>
    <w:rsid w:val="00535801"/>
    <w:rsid w:val="00536135"/>
    <w:rsid w:val="005362EC"/>
    <w:rsid w:val="00536978"/>
    <w:rsid w:val="005370CE"/>
    <w:rsid w:val="0053731C"/>
    <w:rsid w:val="0054037E"/>
    <w:rsid w:val="00540397"/>
    <w:rsid w:val="005407F3"/>
    <w:rsid w:val="00541120"/>
    <w:rsid w:val="00541390"/>
    <w:rsid w:val="00541C8C"/>
    <w:rsid w:val="0054216C"/>
    <w:rsid w:val="00542737"/>
    <w:rsid w:val="00542C96"/>
    <w:rsid w:val="00542D7D"/>
    <w:rsid w:val="005432D0"/>
    <w:rsid w:val="00543451"/>
    <w:rsid w:val="005436DD"/>
    <w:rsid w:val="00543A24"/>
    <w:rsid w:val="005445B1"/>
    <w:rsid w:val="005445FE"/>
    <w:rsid w:val="0054464D"/>
    <w:rsid w:val="00544853"/>
    <w:rsid w:val="00544EEC"/>
    <w:rsid w:val="005452DD"/>
    <w:rsid w:val="0054530F"/>
    <w:rsid w:val="005453D3"/>
    <w:rsid w:val="005455AE"/>
    <w:rsid w:val="00545DA7"/>
    <w:rsid w:val="00545FB1"/>
    <w:rsid w:val="005460F4"/>
    <w:rsid w:val="005462CD"/>
    <w:rsid w:val="005466E7"/>
    <w:rsid w:val="00547374"/>
    <w:rsid w:val="00547531"/>
    <w:rsid w:val="00547CA8"/>
    <w:rsid w:val="00550236"/>
    <w:rsid w:val="00550554"/>
    <w:rsid w:val="00550891"/>
    <w:rsid w:val="005514CC"/>
    <w:rsid w:val="005518A0"/>
    <w:rsid w:val="0055270E"/>
    <w:rsid w:val="00552FB7"/>
    <w:rsid w:val="005531E1"/>
    <w:rsid w:val="005539F0"/>
    <w:rsid w:val="00553F99"/>
    <w:rsid w:val="005542CA"/>
    <w:rsid w:val="00554DF5"/>
    <w:rsid w:val="00554EBA"/>
    <w:rsid w:val="00555EF9"/>
    <w:rsid w:val="005561B1"/>
    <w:rsid w:val="00556490"/>
    <w:rsid w:val="00557013"/>
    <w:rsid w:val="0055730B"/>
    <w:rsid w:val="00557C0C"/>
    <w:rsid w:val="00557CC0"/>
    <w:rsid w:val="00557CC8"/>
    <w:rsid w:val="00557EC2"/>
    <w:rsid w:val="00557ECA"/>
    <w:rsid w:val="00560CE7"/>
    <w:rsid w:val="00560E87"/>
    <w:rsid w:val="00562072"/>
    <w:rsid w:val="00563469"/>
    <w:rsid w:val="005637CE"/>
    <w:rsid w:val="005639EE"/>
    <w:rsid w:val="00563C1C"/>
    <w:rsid w:val="00563D5A"/>
    <w:rsid w:val="0056464C"/>
    <w:rsid w:val="00564ADE"/>
    <w:rsid w:val="0056555F"/>
    <w:rsid w:val="005661E3"/>
    <w:rsid w:val="0056632A"/>
    <w:rsid w:val="00566DFE"/>
    <w:rsid w:val="005671C4"/>
    <w:rsid w:val="00567504"/>
    <w:rsid w:val="005675A6"/>
    <w:rsid w:val="005675C6"/>
    <w:rsid w:val="0056782D"/>
    <w:rsid w:val="00567E52"/>
    <w:rsid w:val="00567F2B"/>
    <w:rsid w:val="00567FA5"/>
    <w:rsid w:val="005701C2"/>
    <w:rsid w:val="005704F0"/>
    <w:rsid w:val="00570C7E"/>
    <w:rsid w:val="005716D4"/>
    <w:rsid w:val="005722B1"/>
    <w:rsid w:val="00572550"/>
    <w:rsid w:val="0057292F"/>
    <w:rsid w:val="00572D62"/>
    <w:rsid w:val="00572E69"/>
    <w:rsid w:val="00573016"/>
    <w:rsid w:val="0057357E"/>
    <w:rsid w:val="00573BAC"/>
    <w:rsid w:val="00573F4E"/>
    <w:rsid w:val="00574441"/>
    <w:rsid w:val="0057454F"/>
    <w:rsid w:val="00574C3C"/>
    <w:rsid w:val="00576060"/>
    <w:rsid w:val="00576354"/>
    <w:rsid w:val="00576424"/>
    <w:rsid w:val="00580BBD"/>
    <w:rsid w:val="00580FD9"/>
    <w:rsid w:val="0058103F"/>
    <w:rsid w:val="00581337"/>
    <w:rsid w:val="0058158C"/>
    <w:rsid w:val="00581858"/>
    <w:rsid w:val="00581DB5"/>
    <w:rsid w:val="00581F34"/>
    <w:rsid w:val="00581FC5"/>
    <w:rsid w:val="00582646"/>
    <w:rsid w:val="005830D0"/>
    <w:rsid w:val="00583169"/>
    <w:rsid w:val="00583AD9"/>
    <w:rsid w:val="00583B97"/>
    <w:rsid w:val="00583C20"/>
    <w:rsid w:val="00583DA9"/>
    <w:rsid w:val="00583EED"/>
    <w:rsid w:val="00584585"/>
    <w:rsid w:val="00584A11"/>
    <w:rsid w:val="005853DA"/>
    <w:rsid w:val="0058559D"/>
    <w:rsid w:val="00585B3C"/>
    <w:rsid w:val="005864D2"/>
    <w:rsid w:val="005868EB"/>
    <w:rsid w:val="00586C8D"/>
    <w:rsid w:val="0058705F"/>
    <w:rsid w:val="00587264"/>
    <w:rsid w:val="005875BB"/>
    <w:rsid w:val="00587A4F"/>
    <w:rsid w:val="00587BB0"/>
    <w:rsid w:val="00590547"/>
    <w:rsid w:val="005905D1"/>
    <w:rsid w:val="005908DD"/>
    <w:rsid w:val="00591EBC"/>
    <w:rsid w:val="00592224"/>
    <w:rsid w:val="005923EC"/>
    <w:rsid w:val="00592801"/>
    <w:rsid w:val="005933C1"/>
    <w:rsid w:val="005942FC"/>
    <w:rsid w:val="00594AA5"/>
    <w:rsid w:val="00594B0B"/>
    <w:rsid w:val="00595312"/>
    <w:rsid w:val="00595A23"/>
    <w:rsid w:val="00596E06"/>
    <w:rsid w:val="005A023F"/>
    <w:rsid w:val="005A0F92"/>
    <w:rsid w:val="005A1483"/>
    <w:rsid w:val="005A19C7"/>
    <w:rsid w:val="005A1C99"/>
    <w:rsid w:val="005A1E14"/>
    <w:rsid w:val="005A3340"/>
    <w:rsid w:val="005A36A9"/>
    <w:rsid w:val="005A3C94"/>
    <w:rsid w:val="005A3F51"/>
    <w:rsid w:val="005A4409"/>
    <w:rsid w:val="005A44B2"/>
    <w:rsid w:val="005A46F6"/>
    <w:rsid w:val="005A5553"/>
    <w:rsid w:val="005A5759"/>
    <w:rsid w:val="005A5BF9"/>
    <w:rsid w:val="005A6943"/>
    <w:rsid w:val="005A6F96"/>
    <w:rsid w:val="005A73AC"/>
    <w:rsid w:val="005A7610"/>
    <w:rsid w:val="005A766C"/>
    <w:rsid w:val="005A7678"/>
    <w:rsid w:val="005A77E4"/>
    <w:rsid w:val="005A7BFA"/>
    <w:rsid w:val="005B0566"/>
    <w:rsid w:val="005B057D"/>
    <w:rsid w:val="005B1C22"/>
    <w:rsid w:val="005B1EEB"/>
    <w:rsid w:val="005B3189"/>
    <w:rsid w:val="005B31E3"/>
    <w:rsid w:val="005B4515"/>
    <w:rsid w:val="005B4B35"/>
    <w:rsid w:val="005B4C45"/>
    <w:rsid w:val="005B4EE2"/>
    <w:rsid w:val="005B548A"/>
    <w:rsid w:val="005B5731"/>
    <w:rsid w:val="005B58BF"/>
    <w:rsid w:val="005B5A68"/>
    <w:rsid w:val="005B5E13"/>
    <w:rsid w:val="005B5EDB"/>
    <w:rsid w:val="005B75D7"/>
    <w:rsid w:val="005B7CF4"/>
    <w:rsid w:val="005B7DBB"/>
    <w:rsid w:val="005C2955"/>
    <w:rsid w:val="005C2A35"/>
    <w:rsid w:val="005C2CC3"/>
    <w:rsid w:val="005C3863"/>
    <w:rsid w:val="005C3A3F"/>
    <w:rsid w:val="005C3FDB"/>
    <w:rsid w:val="005C412C"/>
    <w:rsid w:val="005C46FB"/>
    <w:rsid w:val="005C51A0"/>
    <w:rsid w:val="005C53BC"/>
    <w:rsid w:val="005C55C4"/>
    <w:rsid w:val="005C5751"/>
    <w:rsid w:val="005C6498"/>
    <w:rsid w:val="005C656B"/>
    <w:rsid w:val="005C6DAD"/>
    <w:rsid w:val="005C721E"/>
    <w:rsid w:val="005C72B4"/>
    <w:rsid w:val="005C75E1"/>
    <w:rsid w:val="005C78F3"/>
    <w:rsid w:val="005D0970"/>
    <w:rsid w:val="005D1077"/>
    <w:rsid w:val="005D1A98"/>
    <w:rsid w:val="005D1B7A"/>
    <w:rsid w:val="005D1B9C"/>
    <w:rsid w:val="005D21ED"/>
    <w:rsid w:val="005D2525"/>
    <w:rsid w:val="005D26B6"/>
    <w:rsid w:val="005D2A4D"/>
    <w:rsid w:val="005D3301"/>
    <w:rsid w:val="005D3FD1"/>
    <w:rsid w:val="005D4478"/>
    <w:rsid w:val="005D4DDA"/>
    <w:rsid w:val="005D4F94"/>
    <w:rsid w:val="005D5957"/>
    <w:rsid w:val="005D6BBA"/>
    <w:rsid w:val="005D712C"/>
    <w:rsid w:val="005D73B5"/>
    <w:rsid w:val="005D74FB"/>
    <w:rsid w:val="005D7699"/>
    <w:rsid w:val="005D7B55"/>
    <w:rsid w:val="005E06D1"/>
    <w:rsid w:val="005E06DC"/>
    <w:rsid w:val="005E0E6C"/>
    <w:rsid w:val="005E1C51"/>
    <w:rsid w:val="005E1D39"/>
    <w:rsid w:val="005E2852"/>
    <w:rsid w:val="005E2863"/>
    <w:rsid w:val="005E2D2E"/>
    <w:rsid w:val="005E2D34"/>
    <w:rsid w:val="005E2D9E"/>
    <w:rsid w:val="005E2DD5"/>
    <w:rsid w:val="005E3537"/>
    <w:rsid w:val="005E3787"/>
    <w:rsid w:val="005E46BE"/>
    <w:rsid w:val="005E4909"/>
    <w:rsid w:val="005E493E"/>
    <w:rsid w:val="005E4A8B"/>
    <w:rsid w:val="005E4AF4"/>
    <w:rsid w:val="005E5865"/>
    <w:rsid w:val="005E5BC9"/>
    <w:rsid w:val="005E601A"/>
    <w:rsid w:val="005E6250"/>
    <w:rsid w:val="005E71F4"/>
    <w:rsid w:val="005E739F"/>
    <w:rsid w:val="005E778C"/>
    <w:rsid w:val="005E7DD7"/>
    <w:rsid w:val="005E7E2C"/>
    <w:rsid w:val="005F0E20"/>
    <w:rsid w:val="005F106A"/>
    <w:rsid w:val="005F1784"/>
    <w:rsid w:val="005F191C"/>
    <w:rsid w:val="005F29EE"/>
    <w:rsid w:val="005F360E"/>
    <w:rsid w:val="005F3E14"/>
    <w:rsid w:val="005F4065"/>
    <w:rsid w:val="005F4825"/>
    <w:rsid w:val="005F4A40"/>
    <w:rsid w:val="005F4E3A"/>
    <w:rsid w:val="005F4F4A"/>
    <w:rsid w:val="005F51CE"/>
    <w:rsid w:val="005F5450"/>
    <w:rsid w:val="005F5915"/>
    <w:rsid w:val="005F5E88"/>
    <w:rsid w:val="005F5EA8"/>
    <w:rsid w:val="005F66E4"/>
    <w:rsid w:val="005F690F"/>
    <w:rsid w:val="005F6B06"/>
    <w:rsid w:val="005F7279"/>
    <w:rsid w:val="005F7C4B"/>
    <w:rsid w:val="005F7CCD"/>
    <w:rsid w:val="0060014F"/>
    <w:rsid w:val="0060066F"/>
    <w:rsid w:val="00600895"/>
    <w:rsid w:val="00600CDA"/>
    <w:rsid w:val="00601404"/>
    <w:rsid w:val="006014B9"/>
    <w:rsid w:val="00601C56"/>
    <w:rsid w:val="0060265A"/>
    <w:rsid w:val="00602A02"/>
    <w:rsid w:val="00602B9A"/>
    <w:rsid w:val="00602BAC"/>
    <w:rsid w:val="0060310F"/>
    <w:rsid w:val="006033D1"/>
    <w:rsid w:val="006034C2"/>
    <w:rsid w:val="0060350B"/>
    <w:rsid w:val="00604216"/>
    <w:rsid w:val="006043A7"/>
    <w:rsid w:val="0060441B"/>
    <w:rsid w:val="0060485B"/>
    <w:rsid w:val="00604B99"/>
    <w:rsid w:val="00604C2B"/>
    <w:rsid w:val="0060788F"/>
    <w:rsid w:val="00607B4B"/>
    <w:rsid w:val="00607B86"/>
    <w:rsid w:val="0061043C"/>
    <w:rsid w:val="00610C0E"/>
    <w:rsid w:val="00610D3C"/>
    <w:rsid w:val="00611920"/>
    <w:rsid w:val="00611FCD"/>
    <w:rsid w:val="00612C6B"/>
    <w:rsid w:val="0061362C"/>
    <w:rsid w:val="00613926"/>
    <w:rsid w:val="00614BDC"/>
    <w:rsid w:val="00614E13"/>
    <w:rsid w:val="0061551E"/>
    <w:rsid w:val="006174DB"/>
    <w:rsid w:val="00617671"/>
    <w:rsid w:val="00617CE5"/>
    <w:rsid w:val="00617EFF"/>
    <w:rsid w:val="006202FD"/>
    <w:rsid w:val="00620E26"/>
    <w:rsid w:val="00620E54"/>
    <w:rsid w:val="00620EE5"/>
    <w:rsid w:val="0062130B"/>
    <w:rsid w:val="006217A7"/>
    <w:rsid w:val="0062196B"/>
    <w:rsid w:val="00621D3B"/>
    <w:rsid w:val="00622648"/>
    <w:rsid w:val="00622700"/>
    <w:rsid w:val="00623B19"/>
    <w:rsid w:val="0062404E"/>
    <w:rsid w:val="00624A1E"/>
    <w:rsid w:val="00624D2D"/>
    <w:rsid w:val="00625693"/>
    <w:rsid w:val="0062588E"/>
    <w:rsid w:val="006260BA"/>
    <w:rsid w:val="00627403"/>
    <w:rsid w:val="00627936"/>
    <w:rsid w:val="00627DCC"/>
    <w:rsid w:val="0063016E"/>
    <w:rsid w:val="006307A3"/>
    <w:rsid w:val="006312AC"/>
    <w:rsid w:val="0063188E"/>
    <w:rsid w:val="006318DC"/>
    <w:rsid w:val="006325F8"/>
    <w:rsid w:val="00632C6D"/>
    <w:rsid w:val="0063331B"/>
    <w:rsid w:val="00633463"/>
    <w:rsid w:val="00633C81"/>
    <w:rsid w:val="00633E6D"/>
    <w:rsid w:val="006359DA"/>
    <w:rsid w:val="00635AA2"/>
    <w:rsid w:val="00635ACA"/>
    <w:rsid w:val="00635B21"/>
    <w:rsid w:val="00635C6A"/>
    <w:rsid w:val="006365DB"/>
    <w:rsid w:val="0063691E"/>
    <w:rsid w:val="00636A6C"/>
    <w:rsid w:val="0063753C"/>
    <w:rsid w:val="006379AD"/>
    <w:rsid w:val="00637D45"/>
    <w:rsid w:val="00637FAC"/>
    <w:rsid w:val="006409AF"/>
    <w:rsid w:val="00640DAB"/>
    <w:rsid w:val="006417B1"/>
    <w:rsid w:val="00641FBB"/>
    <w:rsid w:val="00642219"/>
    <w:rsid w:val="00642256"/>
    <w:rsid w:val="006423E1"/>
    <w:rsid w:val="006423FD"/>
    <w:rsid w:val="00642D0C"/>
    <w:rsid w:val="00643BFD"/>
    <w:rsid w:val="006448B6"/>
    <w:rsid w:val="00644CE0"/>
    <w:rsid w:val="00644E81"/>
    <w:rsid w:val="00645811"/>
    <w:rsid w:val="00646836"/>
    <w:rsid w:val="00647558"/>
    <w:rsid w:val="00647579"/>
    <w:rsid w:val="00647821"/>
    <w:rsid w:val="00647ED2"/>
    <w:rsid w:val="0065006D"/>
    <w:rsid w:val="00650CB5"/>
    <w:rsid w:val="00651773"/>
    <w:rsid w:val="00651D79"/>
    <w:rsid w:val="00652056"/>
    <w:rsid w:val="00652520"/>
    <w:rsid w:val="00653F80"/>
    <w:rsid w:val="00653FA3"/>
    <w:rsid w:val="00654083"/>
    <w:rsid w:val="00654B25"/>
    <w:rsid w:val="00654BC4"/>
    <w:rsid w:val="00654EA4"/>
    <w:rsid w:val="00654EE1"/>
    <w:rsid w:val="00654F48"/>
    <w:rsid w:val="006556B5"/>
    <w:rsid w:val="00655C54"/>
    <w:rsid w:val="00655E22"/>
    <w:rsid w:val="00655F70"/>
    <w:rsid w:val="00656714"/>
    <w:rsid w:val="006569B7"/>
    <w:rsid w:val="0065794F"/>
    <w:rsid w:val="00657EA1"/>
    <w:rsid w:val="00660477"/>
    <w:rsid w:val="0066087F"/>
    <w:rsid w:val="00660E2C"/>
    <w:rsid w:val="00661005"/>
    <w:rsid w:val="006612EB"/>
    <w:rsid w:val="0066164E"/>
    <w:rsid w:val="0066198F"/>
    <w:rsid w:val="00661F6E"/>
    <w:rsid w:val="00661FBD"/>
    <w:rsid w:val="006630CF"/>
    <w:rsid w:val="006634A5"/>
    <w:rsid w:val="00663C65"/>
    <w:rsid w:val="00663FB4"/>
    <w:rsid w:val="00664035"/>
    <w:rsid w:val="006641E0"/>
    <w:rsid w:val="00664487"/>
    <w:rsid w:val="00664937"/>
    <w:rsid w:val="00664A6E"/>
    <w:rsid w:val="00664F1A"/>
    <w:rsid w:val="006655F5"/>
    <w:rsid w:val="00665995"/>
    <w:rsid w:val="00665A05"/>
    <w:rsid w:val="00665C82"/>
    <w:rsid w:val="00666D8F"/>
    <w:rsid w:val="00666DAA"/>
    <w:rsid w:val="006670F1"/>
    <w:rsid w:val="006675E5"/>
    <w:rsid w:val="00667837"/>
    <w:rsid w:val="006679C0"/>
    <w:rsid w:val="00667FA4"/>
    <w:rsid w:val="006701BB"/>
    <w:rsid w:val="00670787"/>
    <w:rsid w:val="00670B97"/>
    <w:rsid w:val="00670CFF"/>
    <w:rsid w:val="006710B7"/>
    <w:rsid w:val="00671281"/>
    <w:rsid w:val="006714E2"/>
    <w:rsid w:val="00671881"/>
    <w:rsid w:val="00671A8E"/>
    <w:rsid w:val="00672527"/>
    <w:rsid w:val="00672B02"/>
    <w:rsid w:val="00673203"/>
    <w:rsid w:val="00673AA4"/>
    <w:rsid w:val="00673E27"/>
    <w:rsid w:val="00674272"/>
    <w:rsid w:val="00674C29"/>
    <w:rsid w:val="00674E3E"/>
    <w:rsid w:val="006756C6"/>
    <w:rsid w:val="00675C3B"/>
    <w:rsid w:val="00676A30"/>
    <w:rsid w:val="00676B77"/>
    <w:rsid w:val="00676E00"/>
    <w:rsid w:val="00676F19"/>
    <w:rsid w:val="006770AC"/>
    <w:rsid w:val="006779C8"/>
    <w:rsid w:val="00680393"/>
    <w:rsid w:val="00681215"/>
    <w:rsid w:val="00681971"/>
    <w:rsid w:val="0068199A"/>
    <w:rsid w:val="00681CD5"/>
    <w:rsid w:val="006823CE"/>
    <w:rsid w:val="0068307B"/>
    <w:rsid w:val="00683452"/>
    <w:rsid w:val="00683482"/>
    <w:rsid w:val="0068371B"/>
    <w:rsid w:val="0068400B"/>
    <w:rsid w:val="0068411F"/>
    <w:rsid w:val="006842A8"/>
    <w:rsid w:val="006843AB"/>
    <w:rsid w:val="006849BB"/>
    <w:rsid w:val="006851DD"/>
    <w:rsid w:val="00685288"/>
    <w:rsid w:val="00685950"/>
    <w:rsid w:val="00685CC7"/>
    <w:rsid w:val="006862A6"/>
    <w:rsid w:val="006871B1"/>
    <w:rsid w:val="00690755"/>
    <w:rsid w:val="00690829"/>
    <w:rsid w:val="00690DF3"/>
    <w:rsid w:val="00691523"/>
    <w:rsid w:val="00691B02"/>
    <w:rsid w:val="00691C2D"/>
    <w:rsid w:val="00691D7A"/>
    <w:rsid w:val="00692712"/>
    <w:rsid w:val="006939B9"/>
    <w:rsid w:val="006939DC"/>
    <w:rsid w:val="006939EC"/>
    <w:rsid w:val="006948C8"/>
    <w:rsid w:val="0069555D"/>
    <w:rsid w:val="00696258"/>
    <w:rsid w:val="00696326"/>
    <w:rsid w:val="006970AE"/>
    <w:rsid w:val="00697118"/>
    <w:rsid w:val="0069739D"/>
    <w:rsid w:val="00697668"/>
    <w:rsid w:val="00697CDE"/>
    <w:rsid w:val="006A08C1"/>
    <w:rsid w:val="006A08F5"/>
    <w:rsid w:val="006A0BE2"/>
    <w:rsid w:val="006A0CF0"/>
    <w:rsid w:val="006A0D25"/>
    <w:rsid w:val="006A0D51"/>
    <w:rsid w:val="006A1E83"/>
    <w:rsid w:val="006A249B"/>
    <w:rsid w:val="006A25AE"/>
    <w:rsid w:val="006A38F6"/>
    <w:rsid w:val="006A3B9E"/>
    <w:rsid w:val="006A4AE2"/>
    <w:rsid w:val="006A4F99"/>
    <w:rsid w:val="006A5EE5"/>
    <w:rsid w:val="006A625E"/>
    <w:rsid w:val="006A645D"/>
    <w:rsid w:val="006A64A9"/>
    <w:rsid w:val="006A661F"/>
    <w:rsid w:val="006A67AB"/>
    <w:rsid w:val="006A6AF9"/>
    <w:rsid w:val="006A7AD0"/>
    <w:rsid w:val="006A7D66"/>
    <w:rsid w:val="006B0309"/>
    <w:rsid w:val="006B095B"/>
    <w:rsid w:val="006B1C87"/>
    <w:rsid w:val="006B277A"/>
    <w:rsid w:val="006B2C28"/>
    <w:rsid w:val="006B35A5"/>
    <w:rsid w:val="006B3B09"/>
    <w:rsid w:val="006B3F25"/>
    <w:rsid w:val="006B44B0"/>
    <w:rsid w:val="006B4949"/>
    <w:rsid w:val="006B4C57"/>
    <w:rsid w:val="006B52D9"/>
    <w:rsid w:val="006B556C"/>
    <w:rsid w:val="006B56EC"/>
    <w:rsid w:val="006B5A06"/>
    <w:rsid w:val="006B5ADB"/>
    <w:rsid w:val="006B5C78"/>
    <w:rsid w:val="006B6CB4"/>
    <w:rsid w:val="006B73B9"/>
    <w:rsid w:val="006B741B"/>
    <w:rsid w:val="006B7EFE"/>
    <w:rsid w:val="006C0522"/>
    <w:rsid w:val="006C0ACF"/>
    <w:rsid w:val="006C0CF3"/>
    <w:rsid w:val="006C0D7D"/>
    <w:rsid w:val="006C0DBD"/>
    <w:rsid w:val="006C1021"/>
    <w:rsid w:val="006C13CB"/>
    <w:rsid w:val="006C145B"/>
    <w:rsid w:val="006C2966"/>
    <w:rsid w:val="006C2EF3"/>
    <w:rsid w:val="006C4335"/>
    <w:rsid w:val="006C44CD"/>
    <w:rsid w:val="006C5448"/>
    <w:rsid w:val="006C7219"/>
    <w:rsid w:val="006C746C"/>
    <w:rsid w:val="006C763E"/>
    <w:rsid w:val="006C7693"/>
    <w:rsid w:val="006C783B"/>
    <w:rsid w:val="006D103A"/>
    <w:rsid w:val="006D140D"/>
    <w:rsid w:val="006D1DE1"/>
    <w:rsid w:val="006D223C"/>
    <w:rsid w:val="006D2317"/>
    <w:rsid w:val="006D2C7E"/>
    <w:rsid w:val="006D2F68"/>
    <w:rsid w:val="006D31EC"/>
    <w:rsid w:val="006D32CD"/>
    <w:rsid w:val="006D3749"/>
    <w:rsid w:val="006D37B0"/>
    <w:rsid w:val="006D4881"/>
    <w:rsid w:val="006D489D"/>
    <w:rsid w:val="006D498E"/>
    <w:rsid w:val="006D4D7F"/>
    <w:rsid w:val="006D4FD3"/>
    <w:rsid w:val="006D51B1"/>
    <w:rsid w:val="006D5A15"/>
    <w:rsid w:val="006D5D7E"/>
    <w:rsid w:val="006D5FF2"/>
    <w:rsid w:val="006D6048"/>
    <w:rsid w:val="006D6C3A"/>
    <w:rsid w:val="006D6C5E"/>
    <w:rsid w:val="006D6F55"/>
    <w:rsid w:val="006D73BB"/>
    <w:rsid w:val="006D75E5"/>
    <w:rsid w:val="006D76B9"/>
    <w:rsid w:val="006D7EE9"/>
    <w:rsid w:val="006E0E9C"/>
    <w:rsid w:val="006E1377"/>
    <w:rsid w:val="006E1582"/>
    <w:rsid w:val="006E165D"/>
    <w:rsid w:val="006E1DDE"/>
    <w:rsid w:val="006E2191"/>
    <w:rsid w:val="006E2329"/>
    <w:rsid w:val="006E24B2"/>
    <w:rsid w:val="006E3098"/>
    <w:rsid w:val="006E3280"/>
    <w:rsid w:val="006E38CA"/>
    <w:rsid w:val="006E44D9"/>
    <w:rsid w:val="006E47C7"/>
    <w:rsid w:val="006E4AAA"/>
    <w:rsid w:val="006E4BF9"/>
    <w:rsid w:val="006E4E3F"/>
    <w:rsid w:val="006E50A3"/>
    <w:rsid w:val="006E53B4"/>
    <w:rsid w:val="006E6607"/>
    <w:rsid w:val="006E6CFE"/>
    <w:rsid w:val="006E6E11"/>
    <w:rsid w:val="006E71C1"/>
    <w:rsid w:val="006E71F3"/>
    <w:rsid w:val="006E7410"/>
    <w:rsid w:val="006E778C"/>
    <w:rsid w:val="006E7A0E"/>
    <w:rsid w:val="006E7AC2"/>
    <w:rsid w:val="006E7FA7"/>
    <w:rsid w:val="006F00FD"/>
    <w:rsid w:val="006F0854"/>
    <w:rsid w:val="006F09EC"/>
    <w:rsid w:val="006F0C20"/>
    <w:rsid w:val="006F13A7"/>
    <w:rsid w:val="006F155C"/>
    <w:rsid w:val="006F1A01"/>
    <w:rsid w:val="006F2537"/>
    <w:rsid w:val="006F28B2"/>
    <w:rsid w:val="006F3306"/>
    <w:rsid w:val="006F3DA0"/>
    <w:rsid w:val="006F43CD"/>
    <w:rsid w:val="006F46D2"/>
    <w:rsid w:val="006F4E64"/>
    <w:rsid w:val="006F513C"/>
    <w:rsid w:val="006F58FA"/>
    <w:rsid w:val="006F5E2D"/>
    <w:rsid w:val="006F61F8"/>
    <w:rsid w:val="006F6240"/>
    <w:rsid w:val="006F68F6"/>
    <w:rsid w:val="006F70DB"/>
    <w:rsid w:val="006F74EA"/>
    <w:rsid w:val="006F77E7"/>
    <w:rsid w:val="006F7C03"/>
    <w:rsid w:val="006F7D2B"/>
    <w:rsid w:val="00700017"/>
    <w:rsid w:val="007004C2"/>
    <w:rsid w:val="00700A01"/>
    <w:rsid w:val="007012C0"/>
    <w:rsid w:val="00701336"/>
    <w:rsid w:val="0070168F"/>
    <w:rsid w:val="00701A74"/>
    <w:rsid w:val="00702372"/>
    <w:rsid w:val="007023B6"/>
    <w:rsid w:val="00702911"/>
    <w:rsid w:val="00702E7F"/>
    <w:rsid w:val="00703C0D"/>
    <w:rsid w:val="00704935"/>
    <w:rsid w:val="00704CB9"/>
    <w:rsid w:val="00704CBD"/>
    <w:rsid w:val="00705322"/>
    <w:rsid w:val="00706390"/>
    <w:rsid w:val="00706AB3"/>
    <w:rsid w:val="00706E83"/>
    <w:rsid w:val="00707489"/>
    <w:rsid w:val="007075CD"/>
    <w:rsid w:val="007079E1"/>
    <w:rsid w:val="00707AAA"/>
    <w:rsid w:val="00707CC9"/>
    <w:rsid w:val="0071014B"/>
    <w:rsid w:val="00710439"/>
    <w:rsid w:val="007105D2"/>
    <w:rsid w:val="0071073E"/>
    <w:rsid w:val="00710855"/>
    <w:rsid w:val="00710FE8"/>
    <w:rsid w:val="007112C8"/>
    <w:rsid w:val="007113AF"/>
    <w:rsid w:val="00711875"/>
    <w:rsid w:val="00713110"/>
    <w:rsid w:val="007134AA"/>
    <w:rsid w:val="00713ABD"/>
    <w:rsid w:val="00713EEF"/>
    <w:rsid w:val="0071429B"/>
    <w:rsid w:val="00714433"/>
    <w:rsid w:val="00714C85"/>
    <w:rsid w:val="00715B06"/>
    <w:rsid w:val="00715CED"/>
    <w:rsid w:val="00715DED"/>
    <w:rsid w:val="007162BA"/>
    <w:rsid w:val="0071687A"/>
    <w:rsid w:val="00716ADF"/>
    <w:rsid w:val="00717E3C"/>
    <w:rsid w:val="00720F78"/>
    <w:rsid w:val="00721627"/>
    <w:rsid w:val="00722083"/>
    <w:rsid w:val="00722834"/>
    <w:rsid w:val="00722986"/>
    <w:rsid w:val="007232BF"/>
    <w:rsid w:val="007236C8"/>
    <w:rsid w:val="00723918"/>
    <w:rsid w:val="00723961"/>
    <w:rsid w:val="00723E17"/>
    <w:rsid w:val="00724530"/>
    <w:rsid w:val="007246C3"/>
    <w:rsid w:val="007247D2"/>
    <w:rsid w:val="0072495B"/>
    <w:rsid w:val="00724F70"/>
    <w:rsid w:val="00725109"/>
    <w:rsid w:val="0072581E"/>
    <w:rsid w:val="00725E74"/>
    <w:rsid w:val="00725F82"/>
    <w:rsid w:val="00726714"/>
    <w:rsid w:val="00726F7A"/>
    <w:rsid w:val="00730824"/>
    <w:rsid w:val="007309FE"/>
    <w:rsid w:val="00731273"/>
    <w:rsid w:val="007316EF"/>
    <w:rsid w:val="00731A34"/>
    <w:rsid w:val="00731CFE"/>
    <w:rsid w:val="00731E22"/>
    <w:rsid w:val="00731EE5"/>
    <w:rsid w:val="00732307"/>
    <w:rsid w:val="00732999"/>
    <w:rsid w:val="00732E97"/>
    <w:rsid w:val="0073358D"/>
    <w:rsid w:val="00734243"/>
    <w:rsid w:val="0073439F"/>
    <w:rsid w:val="007343B2"/>
    <w:rsid w:val="0073441B"/>
    <w:rsid w:val="007346A0"/>
    <w:rsid w:val="007348EF"/>
    <w:rsid w:val="007356E3"/>
    <w:rsid w:val="007358D2"/>
    <w:rsid w:val="00735CCB"/>
    <w:rsid w:val="00735EE9"/>
    <w:rsid w:val="00735FA6"/>
    <w:rsid w:val="007368F9"/>
    <w:rsid w:val="00736BF9"/>
    <w:rsid w:val="007371A5"/>
    <w:rsid w:val="00737A30"/>
    <w:rsid w:val="0074018D"/>
    <w:rsid w:val="00740AA1"/>
    <w:rsid w:val="00741BCC"/>
    <w:rsid w:val="0074295A"/>
    <w:rsid w:val="00742B99"/>
    <w:rsid w:val="00742C38"/>
    <w:rsid w:val="00742D91"/>
    <w:rsid w:val="00742E33"/>
    <w:rsid w:val="00744476"/>
    <w:rsid w:val="007448FD"/>
    <w:rsid w:val="00744F0A"/>
    <w:rsid w:val="00744F6B"/>
    <w:rsid w:val="00745054"/>
    <w:rsid w:val="007451C7"/>
    <w:rsid w:val="00745426"/>
    <w:rsid w:val="00745812"/>
    <w:rsid w:val="00745967"/>
    <w:rsid w:val="00746346"/>
    <w:rsid w:val="00746716"/>
    <w:rsid w:val="0074771B"/>
    <w:rsid w:val="00747C06"/>
    <w:rsid w:val="007502F4"/>
    <w:rsid w:val="007511E0"/>
    <w:rsid w:val="0075126E"/>
    <w:rsid w:val="0075201C"/>
    <w:rsid w:val="007520EF"/>
    <w:rsid w:val="007522B6"/>
    <w:rsid w:val="00752D88"/>
    <w:rsid w:val="00754805"/>
    <w:rsid w:val="00754993"/>
    <w:rsid w:val="00754DE8"/>
    <w:rsid w:val="00754EAB"/>
    <w:rsid w:val="00755432"/>
    <w:rsid w:val="00755C06"/>
    <w:rsid w:val="00755DB0"/>
    <w:rsid w:val="00756B09"/>
    <w:rsid w:val="00756EC9"/>
    <w:rsid w:val="00757032"/>
    <w:rsid w:val="007571EA"/>
    <w:rsid w:val="0075772A"/>
    <w:rsid w:val="007600F8"/>
    <w:rsid w:val="0076020B"/>
    <w:rsid w:val="00760C7B"/>
    <w:rsid w:val="00760F46"/>
    <w:rsid w:val="007613B7"/>
    <w:rsid w:val="00761810"/>
    <w:rsid w:val="007619D0"/>
    <w:rsid w:val="00761A6A"/>
    <w:rsid w:val="00761EDE"/>
    <w:rsid w:val="00762164"/>
    <w:rsid w:val="0076233F"/>
    <w:rsid w:val="00762442"/>
    <w:rsid w:val="00762ECE"/>
    <w:rsid w:val="0076339A"/>
    <w:rsid w:val="00763873"/>
    <w:rsid w:val="0076399F"/>
    <w:rsid w:val="0076545E"/>
    <w:rsid w:val="0076565B"/>
    <w:rsid w:val="0076592A"/>
    <w:rsid w:val="00765BCF"/>
    <w:rsid w:val="00766AF8"/>
    <w:rsid w:val="00766E4C"/>
    <w:rsid w:val="00767202"/>
    <w:rsid w:val="00770982"/>
    <w:rsid w:val="007710DB"/>
    <w:rsid w:val="00771395"/>
    <w:rsid w:val="00771A7F"/>
    <w:rsid w:val="00771B1C"/>
    <w:rsid w:val="00771B52"/>
    <w:rsid w:val="00771C84"/>
    <w:rsid w:val="00772522"/>
    <w:rsid w:val="00772B0D"/>
    <w:rsid w:val="00772E18"/>
    <w:rsid w:val="00773314"/>
    <w:rsid w:val="007734C2"/>
    <w:rsid w:val="00773599"/>
    <w:rsid w:val="00773745"/>
    <w:rsid w:val="007742B8"/>
    <w:rsid w:val="00775266"/>
    <w:rsid w:val="00775433"/>
    <w:rsid w:val="0077553B"/>
    <w:rsid w:val="00775BEF"/>
    <w:rsid w:val="007764A3"/>
    <w:rsid w:val="00777463"/>
    <w:rsid w:val="007775D7"/>
    <w:rsid w:val="00777D4F"/>
    <w:rsid w:val="00780130"/>
    <w:rsid w:val="007806A7"/>
    <w:rsid w:val="00780CA2"/>
    <w:rsid w:val="0078173E"/>
    <w:rsid w:val="0078173F"/>
    <w:rsid w:val="00781AC4"/>
    <w:rsid w:val="007823F9"/>
    <w:rsid w:val="007824AA"/>
    <w:rsid w:val="007825C1"/>
    <w:rsid w:val="007826EF"/>
    <w:rsid w:val="007827A0"/>
    <w:rsid w:val="00782A52"/>
    <w:rsid w:val="00783331"/>
    <w:rsid w:val="0078366B"/>
    <w:rsid w:val="00783D4D"/>
    <w:rsid w:val="0078468E"/>
    <w:rsid w:val="0078469E"/>
    <w:rsid w:val="00784A13"/>
    <w:rsid w:val="00784C42"/>
    <w:rsid w:val="0078589E"/>
    <w:rsid w:val="00785C47"/>
    <w:rsid w:val="00785DD1"/>
    <w:rsid w:val="007865C5"/>
    <w:rsid w:val="00786E0E"/>
    <w:rsid w:val="00790754"/>
    <w:rsid w:val="00790E3B"/>
    <w:rsid w:val="007913B5"/>
    <w:rsid w:val="00791504"/>
    <w:rsid w:val="00791923"/>
    <w:rsid w:val="00791C30"/>
    <w:rsid w:val="007928D6"/>
    <w:rsid w:val="00792B98"/>
    <w:rsid w:val="00793099"/>
    <w:rsid w:val="00793850"/>
    <w:rsid w:val="00793858"/>
    <w:rsid w:val="00793877"/>
    <w:rsid w:val="00793D17"/>
    <w:rsid w:val="00794A31"/>
    <w:rsid w:val="00794B7C"/>
    <w:rsid w:val="00794D55"/>
    <w:rsid w:val="00795726"/>
    <w:rsid w:val="0079690E"/>
    <w:rsid w:val="00796A2B"/>
    <w:rsid w:val="007973E3"/>
    <w:rsid w:val="00797567"/>
    <w:rsid w:val="007A05CB"/>
    <w:rsid w:val="007A0CED"/>
    <w:rsid w:val="007A1246"/>
    <w:rsid w:val="007A181C"/>
    <w:rsid w:val="007A1ADA"/>
    <w:rsid w:val="007A205C"/>
    <w:rsid w:val="007A2CF4"/>
    <w:rsid w:val="007A3104"/>
    <w:rsid w:val="007A31C0"/>
    <w:rsid w:val="007A31F5"/>
    <w:rsid w:val="007A356E"/>
    <w:rsid w:val="007A3796"/>
    <w:rsid w:val="007A3C7B"/>
    <w:rsid w:val="007A40CB"/>
    <w:rsid w:val="007A4A95"/>
    <w:rsid w:val="007A4FD8"/>
    <w:rsid w:val="007A5281"/>
    <w:rsid w:val="007A5D16"/>
    <w:rsid w:val="007A6D03"/>
    <w:rsid w:val="007A75D6"/>
    <w:rsid w:val="007A7DBE"/>
    <w:rsid w:val="007B1355"/>
    <w:rsid w:val="007B137E"/>
    <w:rsid w:val="007B1D51"/>
    <w:rsid w:val="007B1F4B"/>
    <w:rsid w:val="007B1F60"/>
    <w:rsid w:val="007B26CA"/>
    <w:rsid w:val="007B27AB"/>
    <w:rsid w:val="007B2D58"/>
    <w:rsid w:val="007B304C"/>
    <w:rsid w:val="007B37B2"/>
    <w:rsid w:val="007B4554"/>
    <w:rsid w:val="007B504E"/>
    <w:rsid w:val="007B60FD"/>
    <w:rsid w:val="007B61E5"/>
    <w:rsid w:val="007B6758"/>
    <w:rsid w:val="007B6A7C"/>
    <w:rsid w:val="007B6CF6"/>
    <w:rsid w:val="007B755C"/>
    <w:rsid w:val="007B7860"/>
    <w:rsid w:val="007B7978"/>
    <w:rsid w:val="007B7C55"/>
    <w:rsid w:val="007C0026"/>
    <w:rsid w:val="007C096A"/>
    <w:rsid w:val="007C1905"/>
    <w:rsid w:val="007C1B9A"/>
    <w:rsid w:val="007C1E2B"/>
    <w:rsid w:val="007C3D9B"/>
    <w:rsid w:val="007C4751"/>
    <w:rsid w:val="007C51A5"/>
    <w:rsid w:val="007C58A8"/>
    <w:rsid w:val="007C6923"/>
    <w:rsid w:val="007C698E"/>
    <w:rsid w:val="007C6CDF"/>
    <w:rsid w:val="007C6EDB"/>
    <w:rsid w:val="007C75ED"/>
    <w:rsid w:val="007C7E63"/>
    <w:rsid w:val="007D01EE"/>
    <w:rsid w:val="007D064C"/>
    <w:rsid w:val="007D0A33"/>
    <w:rsid w:val="007D1B4F"/>
    <w:rsid w:val="007D1CF3"/>
    <w:rsid w:val="007D210C"/>
    <w:rsid w:val="007D241D"/>
    <w:rsid w:val="007D2FC1"/>
    <w:rsid w:val="007D302F"/>
    <w:rsid w:val="007D34E9"/>
    <w:rsid w:val="007D358F"/>
    <w:rsid w:val="007D40F4"/>
    <w:rsid w:val="007D4241"/>
    <w:rsid w:val="007D4514"/>
    <w:rsid w:val="007D45D6"/>
    <w:rsid w:val="007D46CD"/>
    <w:rsid w:val="007D53D5"/>
    <w:rsid w:val="007D575E"/>
    <w:rsid w:val="007D58AA"/>
    <w:rsid w:val="007D59B1"/>
    <w:rsid w:val="007D59D7"/>
    <w:rsid w:val="007D5B21"/>
    <w:rsid w:val="007D5F07"/>
    <w:rsid w:val="007D6155"/>
    <w:rsid w:val="007D67C3"/>
    <w:rsid w:val="007D7590"/>
    <w:rsid w:val="007E0048"/>
    <w:rsid w:val="007E05D3"/>
    <w:rsid w:val="007E07EC"/>
    <w:rsid w:val="007E0815"/>
    <w:rsid w:val="007E1A7F"/>
    <w:rsid w:val="007E1B21"/>
    <w:rsid w:val="007E37F9"/>
    <w:rsid w:val="007E3896"/>
    <w:rsid w:val="007E395A"/>
    <w:rsid w:val="007E3D1B"/>
    <w:rsid w:val="007E3FED"/>
    <w:rsid w:val="007E45E1"/>
    <w:rsid w:val="007E4D23"/>
    <w:rsid w:val="007E4F18"/>
    <w:rsid w:val="007E5235"/>
    <w:rsid w:val="007E5326"/>
    <w:rsid w:val="007E555D"/>
    <w:rsid w:val="007E55F6"/>
    <w:rsid w:val="007E5CEB"/>
    <w:rsid w:val="007E5DFD"/>
    <w:rsid w:val="007E6455"/>
    <w:rsid w:val="007E7326"/>
    <w:rsid w:val="007E771A"/>
    <w:rsid w:val="007F0998"/>
    <w:rsid w:val="007F09C3"/>
    <w:rsid w:val="007F1500"/>
    <w:rsid w:val="007F189B"/>
    <w:rsid w:val="007F24E3"/>
    <w:rsid w:val="007F28F6"/>
    <w:rsid w:val="007F2CAD"/>
    <w:rsid w:val="007F34E6"/>
    <w:rsid w:val="007F3764"/>
    <w:rsid w:val="007F3A3B"/>
    <w:rsid w:val="007F3DC6"/>
    <w:rsid w:val="007F3F5A"/>
    <w:rsid w:val="007F40F2"/>
    <w:rsid w:val="007F42FB"/>
    <w:rsid w:val="007F4590"/>
    <w:rsid w:val="007F5321"/>
    <w:rsid w:val="007F5573"/>
    <w:rsid w:val="007F5B9A"/>
    <w:rsid w:val="007F60CD"/>
    <w:rsid w:val="007F6477"/>
    <w:rsid w:val="007F69E3"/>
    <w:rsid w:val="007F6B76"/>
    <w:rsid w:val="007F723D"/>
    <w:rsid w:val="007F7620"/>
    <w:rsid w:val="007F76F8"/>
    <w:rsid w:val="007F7F94"/>
    <w:rsid w:val="00800707"/>
    <w:rsid w:val="008008FC"/>
    <w:rsid w:val="00800BE8"/>
    <w:rsid w:val="00801041"/>
    <w:rsid w:val="00802752"/>
    <w:rsid w:val="0080279F"/>
    <w:rsid w:val="00802C86"/>
    <w:rsid w:val="00802E93"/>
    <w:rsid w:val="008030E7"/>
    <w:rsid w:val="0080328F"/>
    <w:rsid w:val="00803E8C"/>
    <w:rsid w:val="0080406E"/>
    <w:rsid w:val="0080419D"/>
    <w:rsid w:val="0080434C"/>
    <w:rsid w:val="008043F1"/>
    <w:rsid w:val="00804B16"/>
    <w:rsid w:val="00804CAB"/>
    <w:rsid w:val="008053EC"/>
    <w:rsid w:val="00805BB8"/>
    <w:rsid w:val="008068C2"/>
    <w:rsid w:val="00807133"/>
    <w:rsid w:val="00807170"/>
    <w:rsid w:val="008074DA"/>
    <w:rsid w:val="00807722"/>
    <w:rsid w:val="00807D0C"/>
    <w:rsid w:val="00807DD2"/>
    <w:rsid w:val="00807F2F"/>
    <w:rsid w:val="00810C38"/>
    <w:rsid w:val="00811265"/>
    <w:rsid w:val="008116BA"/>
    <w:rsid w:val="00811ACB"/>
    <w:rsid w:val="00811BAF"/>
    <w:rsid w:val="00811EFA"/>
    <w:rsid w:val="0081217E"/>
    <w:rsid w:val="008121FF"/>
    <w:rsid w:val="008126AB"/>
    <w:rsid w:val="00812766"/>
    <w:rsid w:val="00812A1B"/>
    <w:rsid w:val="008136F2"/>
    <w:rsid w:val="008147A3"/>
    <w:rsid w:val="008147EC"/>
    <w:rsid w:val="00814C2B"/>
    <w:rsid w:val="00814D64"/>
    <w:rsid w:val="008154D4"/>
    <w:rsid w:val="008158DF"/>
    <w:rsid w:val="00816AB7"/>
    <w:rsid w:val="00817414"/>
    <w:rsid w:val="00817671"/>
    <w:rsid w:val="00817744"/>
    <w:rsid w:val="00820155"/>
    <w:rsid w:val="0082055E"/>
    <w:rsid w:val="00820973"/>
    <w:rsid w:val="00820BAB"/>
    <w:rsid w:val="008212D4"/>
    <w:rsid w:val="00821972"/>
    <w:rsid w:val="00821F62"/>
    <w:rsid w:val="008221F9"/>
    <w:rsid w:val="00823241"/>
    <w:rsid w:val="00823F27"/>
    <w:rsid w:val="0082412B"/>
    <w:rsid w:val="00824F7C"/>
    <w:rsid w:val="008259B7"/>
    <w:rsid w:val="00826B7A"/>
    <w:rsid w:val="00826C2D"/>
    <w:rsid w:val="00826F9A"/>
    <w:rsid w:val="00827005"/>
    <w:rsid w:val="00827D64"/>
    <w:rsid w:val="008300BB"/>
    <w:rsid w:val="0083034E"/>
    <w:rsid w:val="008307E5"/>
    <w:rsid w:val="00830979"/>
    <w:rsid w:val="00830B95"/>
    <w:rsid w:val="0083121B"/>
    <w:rsid w:val="00831C72"/>
    <w:rsid w:val="00831C84"/>
    <w:rsid w:val="00831E93"/>
    <w:rsid w:val="00832363"/>
    <w:rsid w:val="008323FF"/>
    <w:rsid w:val="00832CD0"/>
    <w:rsid w:val="00833E72"/>
    <w:rsid w:val="00834EEB"/>
    <w:rsid w:val="008364A3"/>
    <w:rsid w:val="00836812"/>
    <w:rsid w:val="008368BB"/>
    <w:rsid w:val="00836B42"/>
    <w:rsid w:val="00837477"/>
    <w:rsid w:val="00837B10"/>
    <w:rsid w:val="00837CD0"/>
    <w:rsid w:val="0084004E"/>
    <w:rsid w:val="0084034D"/>
    <w:rsid w:val="00841247"/>
    <w:rsid w:val="00841349"/>
    <w:rsid w:val="00842413"/>
    <w:rsid w:val="008424E0"/>
    <w:rsid w:val="008429E9"/>
    <w:rsid w:val="00842F58"/>
    <w:rsid w:val="00843BEA"/>
    <w:rsid w:val="00844071"/>
    <w:rsid w:val="00844498"/>
    <w:rsid w:val="00844A96"/>
    <w:rsid w:val="008455B3"/>
    <w:rsid w:val="008459B4"/>
    <w:rsid w:val="00845A4B"/>
    <w:rsid w:val="008464B2"/>
    <w:rsid w:val="00846D6D"/>
    <w:rsid w:val="00846EFA"/>
    <w:rsid w:val="00847305"/>
    <w:rsid w:val="00847E69"/>
    <w:rsid w:val="008500B0"/>
    <w:rsid w:val="008501F3"/>
    <w:rsid w:val="008502F6"/>
    <w:rsid w:val="00850458"/>
    <w:rsid w:val="008507EA"/>
    <w:rsid w:val="00850839"/>
    <w:rsid w:val="00850A76"/>
    <w:rsid w:val="00850C40"/>
    <w:rsid w:val="0085133B"/>
    <w:rsid w:val="008513DD"/>
    <w:rsid w:val="008516B7"/>
    <w:rsid w:val="0085190E"/>
    <w:rsid w:val="0085198C"/>
    <w:rsid w:val="00851B2E"/>
    <w:rsid w:val="00852214"/>
    <w:rsid w:val="0085281F"/>
    <w:rsid w:val="00852B35"/>
    <w:rsid w:val="00852DFE"/>
    <w:rsid w:val="00853373"/>
    <w:rsid w:val="00853B35"/>
    <w:rsid w:val="008547B0"/>
    <w:rsid w:val="00854DB2"/>
    <w:rsid w:val="00855E2E"/>
    <w:rsid w:val="008563A7"/>
    <w:rsid w:val="008563D4"/>
    <w:rsid w:val="00857024"/>
    <w:rsid w:val="00857995"/>
    <w:rsid w:val="0086011A"/>
    <w:rsid w:val="00860926"/>
    <w:rsid w:val="00860A42"/>
    <w:rsid w:val="00861E55"/>
    <w:rsid w:val="0086238B"/>
    <w:rsid w:val="00862F14"/>
    <w:rsid w:val="008634C3"/>
    <w:rsid w:val="00863517"/>
    <w:rsid w:val="00863782"/>
    <w:rsid w:val="008644AF"/>
    <w:rsid w:val="00865052"/>
    <w:rsid w:val="00865A4D"/>
    <w:rsid w:val="00865CF8"/>
    <w:rsid w:val="00866D83"/>
    <w:rsid w:val="008675D9"/>
    <w:rsid w:val="008700F9"/>
    <w:rsid w:val="0087081C"/>
    <w:rsid w:val="00870DB5"/>
    <w:rsid w:val="0087173D"/>
    <w:rsid w:val="00871C2E"/>
    <w:rsid w:val="00871F5F"/>
    <w:rsid w:val="008720CB"/>
    <w:rsid w:val="008723CD"/>
    <w:rsid w:val="00872659"/>
    <w:rsid w:val="008726CC"/>
    <w:rsid w:val="008736F2"/>
    <w:rsid w:val="00873D60"/>
    <w:rsid w:val="00874331"/>
    <w:rsid w:val="00874BDC"/>
    <w:rsid w:val="00874C04"/>
    <w:rsid w:val="00874C8A"/>
    <w:rsid w:val="008752D8"/>
    <w:rsid w:val="0087597E"/>
    <w:rsid w:val="00875E74"/>
    <w:rsid w:val="00875F00"/>
    <w:rsid w:val="00875F2D"/>
    <w:rsid w:val="00876250"/>
    <w:rsid w:val="008762FE"/>
    <w:rsid w:val="008771C1"/>
    <w:rsid w:val="008774DE"/>
    <w:rsid w:val="00877B1A"/>
    <w:rsid w:val="00877F52"/>
    <w:rsid w:val="00880262"/>
    <w:rsid w:val="0088111D"/>
    <w:rsid w:val="008812C6"/>
    <w:rsid w:val="008816B8"/>
    <w:rsid w:val="00881FA7"/>
    <w:rsid w:val="008822D0"/>
    <w:rsid w:val="0088259E"/>
    <w:rsid w:val="008829BA"/>
    <w:rsid w:val="00884211"/>
    <w:rsid w:val="0088435E"/>
    <w:rsid w:val="008843A6"/>
    <w:rsid w:val="00884671"/>
    <w:rsid w:val="00885284"/>
    <w:rsid w:val="0088537B"/>
    <w:rsid w:val="00885527"/>
    <w:rsid w:val="00885BD8"/>
    <w:rsid w:val="00885E0A"/>
    <w:rsid w:val="00886073"/>
    <w:rsid w:val="0089089F"/>
    <w:rsid w:val="00890BAE"/>
    <w:rsid w:val="00891FFD"/>
    <w:rsid w:val="008923C9"/>
    <w:rsid w:val="00892906"/>
    <w:rsid w:val="0089338C"/>
    <w:rsid w:val="008941EE"/>
    <w:rsid w:val="0089438A"/>
    <w:rsid w:val="008950FD"/>
    <w:rsid w:val="0089546B"/>
    <w:rsid w:val="008955A1"/>
    <w:rsid w:val="008957F0"/>
    <w:rsid w:val="0089606E"/>
    <w:rsid w:val="0089616F"/>
    <w:rsid w:val="00896424"/>
    <w:rsid w:val="00896887"/>
    <w:rsid w:val="00896E4E"/>
    <w:rsid w:val="00896F82"/>
    <w:rsid w:val="00896FC8"/>
    <w:rsid w:val="008A03E5"/>
    <w:rsid w:val="008A0AB9"/>
    <w:rsid w:val="008A2249"/>
    <w:rsid w:val="008A25A5"/>
    <w:rsid w:val="008A25B9"/>
    <w:rsid w:val="008A2C3C"/>
    <w:rsid w:val="008A324A"/>
    <w:rsid w:val="008A34D4"/>
    <w:rsid w:val="008A35BC"/>
    <w:rsid w:val="008A38C3"/>
    <w:rsid w:val="008A3998"/>
    <w:rsid w:val="008A3B00"/>
    <w:rsid w:val="008A3B78"/>
    <w:rsid w:val="008A4CCF"/>
    <w:rsid w:val="008A5ABA"/>
    <w:rsid w:val="008A5C12"/>
    <w:rsid w:val="008A5F6F"/>
    <w:rsid w:val="008A5F89"/>
    <w:rsid w:val="008A6AFA"/>
    <w:rsid w:val="008A6B74"/>
    <w:rsid w:val="008B000F"/>
    <w:rsid w:val="008B03C8"/>
    <w:rsid w:val="008B0660"/>
    <w:rsid w:val="008B1E63"/>
    <w:rsid w:val="008B2356"/>
    <w:rsid w:val="008B28CF"/>
    <w:rsid w:val="008B2A43"/>
    <w:rsid w:val="008B425D"/>
    <w:rsid w:val="008B4350"/>
    <w:rsid w:val="008B45BA"/>
    <w:rsid w:val="008B51AE"/>
    <w:rsid w:val="008B51C0"/>
    <w:rsid w:val="008B5382"/>
    <w:rsid w:val="008B561D"/>
    <w:rsid w:val="008B5DD8"/>
    <w:rsid w:val="008B6207"/>
    <w:rsid w:val="008B6569"/>
    <w:rsid w:val="008B6663"/>
    <w:rsid w:val="008B6CE1"/>
    <w:rsid w:val="008B71E0"/>
    <w:rsid w:val="008B7302"/>
    <w:rsid w:val="008C0182"/>
    <w:rsid w:val="008C0778"/>
    <w:rsid w:val="008C1868"/>
    <w:rsid w:val="008C2848"/>
    <w:rsid w:val="008C2939"/>
    <w:rsid w:val="008C2B30"/>
    <w:rsid w:val="008C2DF8"/>
    <w:rsid w:val="008C306D"/>
    <w:rsid w:val="008C320F"/>
    <w:rsid w:val="008C3475"/>
    <w:rsid w:val="008C3DFD"/>
    <w:rsid w:val="008C46BB"/>
    <w:rsid w:val="008C53EB"/>
    <w:rsid w:val="008C580D"/>
    <w:rsid w:val="008C6067"/>
    <w:rsid w:val="008C60AC"/>
    <w:rsid w:val="008C6EAA"/>
    <w:rsid w:val="008C6FB4"/>
    <w:rsid w:val="008C7059"/>
    <w:rsid w:val="008C7112"/>
    <w:rsid w:val="008C7126"/>
    <w:rsid w:val="008C7653"/>
    <w:rsid w:val="008C7A77"/>
    <w:rsid w:val="008C7AAA"/>
    <w:rsid w:val="008C7DAA"/>
    <w:rsid w:val="008C7ECE"/>
    <w:rsid w:val="008D00AB"/>
    <w:rsid w:val="008D12CA"/>
    <w:rsid w:val="008D1628"/>
    <w:rsid w:val="008D1CBE"/>
    <w:rsid w:val="008D1EDF"/>
    <w:rsid w:val="008D3504"/>
    <w:rsid w:val="008D3893"/>
    <w:rsid w:val="008D39C3"/>
    <w:rsid w:val="008D4B6E"/>
    <w:rsid w:val="008D4EE3"/>
    <w:rsid w:val="008D579A"/>
    <w:rsid w:val="008D7436"/>
    <w:rsid w:val="008D7C94"/>
    <w:rsid w:val="008E0259"/>
    <w:rsid w:val="008E0E12"/>
    <w:rsid w:val="008E1161"/>
    <w:rsid w:val="008E1301"/>
    <w:rsid w:val="008E167C"/>
    <w:rsid w:val="008E1A18"/>
    <w:rsid w:val="008E1C4C"/>
    <w:rsid w:val="008E1CFF"/>
    <w:rsid w:val="008E1D3D"/>
    <w:rsid w:val="008E1FFA"/>
    <w:rsid w:val="008E2866"/>
    <w:rsid w:val="008E28B5"/>
    <w:rsid w:val="008E28F8"/>
    <w:rsid w:val="008E2943"/>
    <w:rsid w:val="008E29E4"/>
    <w:rsid w:val="008E390D"/>
    <w:rsid w:val="008E3CE4"/>
    <w:rsid w:val="008E4F22"/>
    <w:rsid w:val="008E52FD"/>
    <w:rsid w:val="008E5555"/>
    <w:rsid w:val="008E5E59"/>
    <w:rsid w:val="008E5F71"/>
    <w:rsid w:val="008E5FDF"/>
    <w:rsid w:val="008E69B5"/>
    <w:rsid w:val="008E6D97"/>
    <w:rsid w:val="008E7302"/>
    <w:rsid w:val="008E7590"/>
    <w:rsid w:val="008E7616"/>
    <w:rsid w:val="008E7E70"/>
    <w:rsid w:val="008F000C"/>
    <w:rsid w:val="008F07F5"/>
    <w:rsid w:val="008F13F1"/>
    <w:rsid w:val="008F1879"/>
    <w:rsid w:val="008F1887"/>
    <w:rsid w:val="008F26C8"/>
    <w:rsid w:val="008F3187"/>
    <w:rsid w:val="008F3ADE"/>
    <w:rsid w:val="008F3B69"/>
    <w:rsid w:val="008F3C7D"/>
    <w:rsid w:val="008F41F7"/>
    <w:rsid w:val="008F434C"/>
    <w:rsid w:val="008F4E76"/>
    <w:rsid w:val="008F51EF"/>
    <w:rsid w:val="008F5901"/>
    <w:rsid w:val="008F5C8A"/>
    <w:rsid w:val="008F68B2"/>
    <w:rsid w:val="008F72E7"/>
    <w:rsid w:val="008F752D"/>
    <w:rsid w:val="009002D2"/>
    <w:rsid w:val="00900FCF"/>
    <w:rsid w:val="009020B9"/>
    <w:rsid w:val="00902833"/>
    <w:rsid w:val="009043B2"/>
    <w:rsid w:val="009044FD"/>
    <w:rsid w:val="00904556"/>
    <w:rsid w:val="00904564"/>
    <w:rsid w:val="00904A60"/>
    <w:rsid w:val="00905A07"/>
    <w:rsid w:val="00905EBD"/>
    <w:rsid w:val="0090609A"/>
    <w:rsid w:val="00906C67"/>
    <w:rsid w:val="009070A6"/>
    <w:rsid w:val="009077E5"/>
    <w:rsid w:val="0091081B"/>
    <w:rsid w:val="00910B35"/>
    <w:rsid w:val="00910C10"/>
    <w:rsid w:val="009116B0"/>
    <w:rsid w:val="00911ADD"/>
    <w:rsid w:val="0091267D"/>
    <w:rsid w:val="00912B74"/>
    <w:rsid w:val="00913423"/>
    <w:rsid w:val="00914DC5"/>
    <w:rsid w:val="00915408"/>
    <w:rsid w:val="009154B0"/>
    <w:rsid w:val="00915E0E"/>
    <w:rsid w:val="00915F88"/>
    <w:rsid w:val="00916830"/>
    <w:rsid w:val="00916886"/>
    <w:rsid w:val="00916AF7"/>
    <w:rsid w:val="00916B03"/>
    <w:rsid w:val="0091710B"/>
    <w:rsid w:val="0091712F"/>
    <w:rsid w:val="0092024C"/>
    <w:rsid w:val="00920AF7"/>
    <w:rsid w:val="00920DBA"/>
    <w:rsid w:val="00921094"/>
    <w:rsid w:val="009213EA"/>
    <w:rsid w:val="00922030"/>
    <w:rsid w:val="00922F37"/>
    <w:rsid w:val="00922F5E"/>
    <w:rsid w:val="0092319A"/>
    <w:rsid w:val="009232BB"/>
    <w:rsid w:val="00923D78"/>
    <w:rsid w:val="00923D8D"/>
    <w:rsid w:val="00923DE9"/>
    <w:rsid w:val="009247AD"/>
    <w:rsid w:val="009248AD"/>
    <w:rsid w:val="009250C0"/>
    <w:rsid w:val="00925521"/>
    <w:rsid w:val="009257CF"/>
    <w:rsid w:val="00925951"/>
    <w:rsid w:val="00925F87"/>
    <w:rsid w:val="00926209"/>
    <w:rsid w:val="00926B7F"/>
    <w:rsid w:val="00927595"/>
    <w:rsid w:val="00927B80"/>
    <w:rsid w:val="00927E16"/>
    <w:rsid w:val="00927F2F"/>
    <w:rsid w:val="00930BC0"/>
    <w:rsid w:val="0093149C"/>
    <w:rsid w:val="009315DD"/>
    <w:rsid w:val="00931D65"/>
    <w:rsid w:val="00931F77"/>
    <w:rsid w:val="009320CD"/>
    <w:rsid w:val="00932205"/>
    <w:rsid w:val="00932B09"/>
    <w:rsid w:val="00933616"/>
    <w:rsid w:val="00933A7C"/>
    <w:rsid w:val="00933D70"/>
    <w:rsid w:val="00933DD8"/>
    <w:rsid w:val="009343C7"/>
    <w:rsid w:val="009344ED"/>
    <w:rsid w:val="00936DAE"/>
    <w:rsid w:val="0093743D"/>
    <w:rsid w:val="00937B84"/>
    <w:rsid w:val="00937EE0"/>
    <w:rsid w:val="009408FE"/>
    <w:rsid w:val="00940C53"/>
    <w:rsid w:val="00940CAB"/>
    <w:rsid w:val="00940F01"/>
    <w:rsid w:val="009415E8"/>
    <w:rsid w:val="00941639"/>
    <w:rsid w:val="00941690"/>
    <w:rsid w:val="00942B1B"/>
    <w:rsid w:val="00943608"/>
    <w:rsid w:val="00943E55"/>
    <w:rsid w:val="00944BCE"/>
    <w:rsid w:val="00944DCC"/>
    <w:rsid w:val="00944F23"/>
    <w:rsid w:val="009450FE"/>
    <w:rsid w:val="00945157"/>
    <w:rsid w:val="0094586F"/>
    <w:rsid w:val="009458C5"/>
    <w:rsid w:val="00945C8F"/>
    <w:rsid w:val="00946201"/>
    <w:rsid w:val="00947957"/>
    <w:rsid w:val="009506E2"/>
    <w:rsid w:val="00950B2E"/>
    <w:rsid w:val="00950BBD"/>
    <w:rsid w:val="009511BB"/>
    <w:rsid w:val="00951270"/>
    <w:rsid w:val="009516F6"/>
    <w:rsid w:val="00951D23"/>
    <w:rsid w:val="0095215B"/>
    <w:rsid w:val="00952E3A"/>
    <w:rsid w:val="009530E5"/>
    <w:rsid w:val="00953206"/>
    <w:rsid w:val="009536FC"/>
    <w:rsid w:val="00954BD6"/>
    <w:rsid w:val="00954D87"/>
    <w:rsid w:val="00955CBA"/>
    <w:rsid w:val="009564C9"/>
    <w:rsid w:val="00956787"/>
    <w:rsid w:val="0095765D"/>
    <w:rsid w:val="0095773C"/>
    <w:rsid w:val="00957C37"/>
    <w:rsid w:val="00957E8B"/>
    <w:rsid w:val="009604C4"/>
    <w:rsid w:val="009613A2"/>
    <w:rsid w:val="0096141C"/>
    <w:rsid w:val="00961DE1"/>
    <w:rsid w:val="009628AD"/>
    <w:rsid w:val="009628F1"/>
    <w:rsid w:val="00962A12"/>
    <w:rsid w:val="00962EC1"/>
    <w:rsid w:val="00963CB0"/>
    <w:rsid w:val="00963D57"/>
    <w:rsid w:val="00963D9E"/>
    <w:rsid w:val="00964089"/>
    <w:rsid w:val="009645AC"/>
    <w:rsid w:val="0096470E"/>
    <w:rsid w:val="00964A1F"/>
    <w:rsid w:val="00964ABF"/>
    <w:rsid w:val="00964AD7"/>
    <w:rsid w:val="00965485"/>
    <w:rsid w:val="00965B0F"/>
    <w:rsid w:val="00965BEA"/>
    <w:rsid w:val="00965DCE"/>
    <w:rsid w:val="0096632F"/>
    <w:rsid w:val="00966805"/>
    <w:rsid w:val="00966CDD"/>
    <w:rsid w:val="00966E54"/>
    <w:rsid w:val="00967A79"/>
    <w:rsid w:val="00967A93"/>
    <w:rsid w:val="00970135"/>
    <w:rsid w:val="00970EA4"/>
    <w:rsid w:val="00970FBB"/>
    <w:rsid w:val="00971837"/>
    <w:rsid w:val="00971B9B"/>
    <w:rsid w:val="00971BBB"/>
    <w:rsid w:val="00971DF9"/>
    <w:rsid w:val="009720E3"/>
    <w:rsid w:val="00973F66"/>
    <w:rsid w:val="009741D8"/>
    <w:rsid w:val="0097466B"/>
    <w:rsid w:val="00975065"/>
    <w:rsid w:val="00975F13"/>
    <w:rsid w:val="0097696C"/>
    <w:rsid w:val="00977014"/>
    <w:rsid w:val="009770BA"/>
    <w:rsid w:val="00977993"/>
    <w:rsid w:val="00980351"/>
    <w:rsid w:val="009806CA"/>
    <w:rsid w:val="0098158D"/>
    <w:rsid w:val="00981695"/>
    <w:rsid w:val="009818FD"/>
    <w:rsid w:val="009819D9"/>
    <w:rsid w:val="00981FA8"/>
    <w:rsid w:val="00982088"/>
    <w:rsid w:val="00982125"/>
    <w:rsid w:val="009828EF"/>
    <w:rsid w:val="00983235"/>
    <w:rsid w:val="00983485"/>
    <w:rsid w:val="0098351B"/>
    <w:rsid w:val="009835BB"/>
    <w:rsid w:val="00983F4B"/>
    <w:rsid w:val="009842AB"/>
    <w:rsid w:val="00984682"/>
    <w:rsid w:val="00984D4C"/>
    <w:rsid w:val="00984FE7"/>
    <w:rsid w:val="009850A0"/>
    <w:rsid w:val="009857EF"/>
    <w:rsid w:val="00985A30"/>
    <w:rsid w:val="00985CD0"/>
    <w:rsid w:val="00985D36"/>
    <w:rsid w:val="00985D98"/>
    <w:rsid w:val="00985FC0"/>
    <w:rsid w:val="0098611D"/>
    <w:rsid w:val="009862FF"/>
    <w:rsid w:val="00986470"/>
    <w:rsid w:val="00986F19"/>
    <w:rsid w:val="00987910"/>
    <w:rsid w:val="009908F4"/>
    <w:rsid w:val="00990DDE"/>
    <w:rsid w:val="00991222"/>
    <w:rsid w:val="0099158E"/>
    <w:rsid w:val="00991B1A"/>
    <w:rsid w:val="00991F38"/>
    <w:rsid w:val="00992041"/>
    <w:rsid w:val="0099244E"/>
    <w:rsid w:val="00992802"/>
    <w:rsid w:val="0099308D"/>
    <w:rsid w:val="0099317B"/>
    <w:rsid w:val="0099375D"/>
    <w:rsid w:val="00994274"/>
    <w:rsid w:val="00994305"/>
    <w:rsid w:val="00994683"/>
    <w:rsid w:val="0099479A"/>
    <w:rsid w:val="00995A25"/>
    <w:rsid w:val="00995D65"/>
    <w:rsid w:val="00995EDC"/>
    <w:rsid w:val="00996B53"/>
    <w:rsid w:val="00997264"/>
    <w:rsid w:val="00997417"/>
    <w:rsid w:val="00997758"/>
    <w:rsid w:val="009A0B64"/>
    <w:rsid w:val="009A17EE"/>
    <w:rsid w:val="009A1E4F"/>
    <w:rsid w:val="009A21E3"/>
    <w:rsid w:val="009A268F"/>
    <w:rsid w:val="009A2835"/>
    <w:rsid w:val="009A39DC"/>
    <w:rsid w:val="009A3B48"/>
    <w:rsid w:val="009A43FC"/>
    <w:rsid w:val="009A4EE2"/>
    <w:rsid w:val="009A504F"/>
    <w:rsid w:val="009A52B5"/>
    <w:rsid w:val="009A531C"/>
    <w:rsid w:val="009A5753"/>
    <w:rsid w:val="009A6465"/>
    <w:rsid w:val="009A65B0"/>
    <w:rsid w:val="009A6612"/>
    <w:rsid w:val="009A67A3"/>
    <w:rsid w:val="009A6CA4"/>
    <w:rsid w:val="009A7BA5"/>
    <w:rsid w:val="009B0C2E"/>
    <w:rsid w:val="009B0D9E"/>
    <w:rsid w:val="009B104A"/>
    <w:rsid w:val="009B1313"/>
    <w:rsid w:val="009B180C"/>
    <w:rsid w:val="009B2036"/>
    <w:rsid w:val="009B2EC3"/>
    <w:rsid w:val="009B3EBA"/>
    <w:rsid w:val="009B4A9B"/>
    <w:rsid w:val="009B540D"/>
    <w:rsid w:val="009B7B73"/>
    <w:rsid w:val="009B7E02"/>
    <w:rsid w:val="009B7E22"/>
    <w:rsid w:val="009C09B8"/>
    <w:rsid w:val="009C0B9A"/>
    <w:rsid w:val="009C17E2"/>
    <w:rsid w:val="009C1AD6"/>
    <w:rsid w:val="009C2214"/>
    <w:rsid w:val="009C27F7"/>
    <w:rsid w:val="009C3130"/>
    <w:rsid w:val="009C347E"/>
    <w:rsid w:val="009C34BB"/>
    <w:rsid w:val="009C3668"/>
    <w:rsid w:val="009C36AB"/>
    <w:rsid w:val="009C428E"/>
    <w:rsid w:val="009C42D6"/>
    <w:rsid w:val="009C482B"/>
    <w:rsid w:val="009C4A1B"/>
    <w:rsid w:val="009C4CDB"/>
    <w:rsid w:val="009C4DC8"/>
    <w:rsid w:val="009C4ECF"/>
    <w:rsid w:val="009C50E5"/>
    <w:rsid w:val="009C56A3"/>
    <w:rsid w:val="009C610F"/>
    <w:rsid w:val="009C659F"/>
    <w:rsid w:val="009C68F7"/>
    <w:rsid w:val="009C6DAA"/>
    <w:rsid w:val="009C7C37"/>
    <w:rsid w:val="009D0196"/>
    <w:rsid w:val="009D0DB2"/>
    <w:rsid w:val="009D11E4"/>
    <w:rsid w:val="009D17CB"/>
    <w:rsid w:val="009D1D31"/>
    <w:rsid w:val="009D262A"/>
    <w:rsid w:val="009D2F81"/>
    <w:rsid w:val="009D3FDE"/>
    <w:rsid w:val="009D4554"/>
    <w:rsid w:val="009D4B63"/>
    <w:rsid w:val="009D4C9F"/>
    <w:rsid w:val="009D4F93"/>
    <w:rsid w:val="009D62E4"/>
    <w:rsid w:val="009D645F"/>
    <w:rsid w:val="009D65A0"/>
    <w:rsid w:val="009D65C9"/>
    <w:rsid w:val="009D6A08"/>
    <w:rsid w:val="009D6AC0"/>
    <w:rsid w:val="009D7226"/>
    <w:rsid w:val="009D7A5B"/>
    <w:rsid w:val="009D7E2C"/>
    <w:rsid w:val="009E036A"/>
    <w:rsid w:val="009E05A1"/>
    <w:rsid w:val="009E15BA"/>
    <w:rsid w:val="009E17D9"/>
    <w:rsid w:val="009E1A69"/>
    <w:rsid w:val="009E1B6C"/>
    <w:rsid w:val="009E25D4"/>
    <w:rsid w:val="009E2B81"/>
    <w:rsid w:val="009E3321"/>
    <w:rsid w:val="009E425A"/>
    <w:rsid w:val="009E434C"/>
    <w:rsid w:val="009E505F"/>
    <w:rsid w:val="009E6094"/>
    <w:rsid w:val="009E6185"/>
    <w:rsid w:val="009E61EB"/>
    <w:rsid w:val="009E6753"/>
    <w:rsid w:val="009E688A"/>
    <w:rsid w:val="009E6DDC"/>
    <w:rsid w:val="009E6EA8"/>
    <w:rsid w:val="009E73F1"/>
    <w:rsid w:val="009F090F"/>
    <w:rsid w:val="009F0A55"/>
    <w:rsid w:val="009F21A4"/>
    <w:rsid w:val="009F22CF"/>
    <w:rsid w:val="009F27AC"/>
    <w:rsid w:val="009F34D3"/>
    <w:rsid w:val="009F364B"/>
    <w:rsid w:val="009F384E"/>
    <w:rsid w:val="009F456B"/>
    <w:rsid w:val="009F5237"/>
    <w:rsid w:val="009F57AF"/>
    <w:rsid w:val="009F6117"/>
    <w:rsid w:val="009F6229"/>
    <w:rsid w:val="009F6536"/>
    <w:rsid w:val="009F65D3"/>
    <w:rsid w:val="009F7293"/>
    <w:rsid w:val="009F7437"/>
    <w:rsid w:val="009F7512"/>
    <w:rsid w:val="00A004D9"/>
    <w:rsid w:val="00A008B2"/>
    <w:rsid w:val="00A01AE7"/>
    <w:rsid w:val="00A02F08"/>
    <w:rsid w:val="00A03B4E"/>
    <w:rsid w:val="00A03DFB"/>
    <w:rsid w:val="00A04005"/>
    <w:rsid w:val="00A046DF"/>
    <w:rsid w:val="00A047DB"/>
    <w:rsid w:val="00A04C02"/>
    <w:rsid w:val="00A04CA6"/>
    <w:rsid w:val="00A04F2A"/>
    <w:rsid w:val="00A051DE"/>
    <w:rsid w:val="00A05612"/>
    <w:rsid w:val="00A06ABB"/>
    <w:rsid w:val="00A06C25"/>
    <w:rsid w:val="00A06E8F"/>
    <w:rsid w:val="00A07088"/>
    <w:rsid w:val="00A075DE"/>
    <w:rsid w:val="00A076CB"/>
    <w:rsid w:val="00A077BA"/>
    <w:rsid w:val="00A07AF7"/>
    <w:rsid w:val="00A07B61"/>
    <w:rsid w:val="00A10831"/>
    <w:rsid w:val="00A10FDB"/>
    <w:rsid w:val="00A1156A"/>
    <w:rsid w:val="00A11AD2"/>
    <w:rsid w:val="00A11DBF"/>
    <w:rsid w:val="00A11E34"/>
    <w:rsid w:val="00A11F58"/>
    <w:rsid w:val="00A12016"/>
    <w:rsid w:val="00A1212A"/>
    <w:rsid w:val="00A1227C"/>
    <w:rsid w:val="00A122AA"/>
    <w:rsid w:val="00A12571"/>
    <w:rsid w:val="00A1328C"/>
    <w:rsid w:val="00A13671"/>
    <w:rsid w:val="00A13C90"/>
    <w:rsid w:val="00A141FA"/>
    <w:rsid w:val="00A146D1"/>
    <w:rsid w:val="00A14E04"/>
    <w:rsid w:val="00A150E9"/>
    <w:rsid w:val="00A152D9"/>
    <w:rsid w:val="00A15539"/>
    <w:rsid w:val="00A1556E"/>
    <w:rsid w:val="00A16D1B"/>
    <w:rsid w:val="00A17435"/>
    <w:rsid w:val="00A17883"/>
    <w:rsid w:val="00A179E2"/>
    <w:rsid w:val="00A201C0"/>
    <w:rsid w:val="00A205F5"/>
    <w:rsid w:val="00A20838"/>
    <w:rsid w:val="00A20857"/>
    <w:rsid w:val="00A217AB"/>
    <w:rsid w:val="00A21B72"/>
    <w:rsid w:val="00A21B97"/>
    <w:rsid w:val="00A21BAC"/>
    <w:rsid w:val="00A228E9"/>
    <w:rsid w:val="00A22EC6"/>
    <w:rsid w:val="00A23401"/>
    <w:rsid w:val="00A23559"/>
    <w:rsid w:val="00A23D4D"/>
    <w:rsid w:val="00A23E9B"/>
    <w:rsid w:val="00A24133"/>
    <w:rsid w:val="00A24784"/>
    <w:rsid w:val="00A24F53"/>
    <w:rsid w:val="00A24F6F"/>
    <w:rsid w:val="00A25189"/>
    <w:rsid w:val="00A255A1"/>
    <w:rsid w:val="00A25694"/>
    <w:rsid w:val="00A2611F"/>
    <w:rsid w:val="00A26418"/>
    <w:rsid w:val="00A26CA1"/>
    <w:rsid w:val="00A26E88"/>
    <w:rsid w:val="00A2716C"/>
    <w:rsid w:val="00A27384"/>
    <w:rsid w:val="00A27656"/>
    <w:rsid w:val="00A30465"/>
    <w:rsid w:val="00A306A2"/>
    <w:rsid w:val="00A306A3"/>
    <w:rsid w:val="00A308F7"/>
    <w:rsid w:val="00A309F2"/>
    <w:rsid w:val="00A30A4C"/>
    <w:rsid w:val="00A30B15"/>
    <w:rsid w:val="00A30CDE"/>
    <w:rsid w:val="00A30F44"/>
    <w:rsid w:val="00A313C7"/>
    <w:rsid w:val="00A316C7"/>
    <w:rsid w:val="00A31C08"/>
    <w:rsid w:val="00A323F8"/>
    <w:rsid w:val="00A324E6"/>
    <w:rsid w:val="00A32976"/>
    <w:rsid w:val="00A346AB"/>
    <w:rsid w:val="00A346AF"/>
    <w:rsid w:val="00A34809"/>
    <w:rsid w:val="00A35BAA"/>
    <w:rsid w:val="00A367F4"/>
    <w:rsid w:val="00A36A27"/>
    <w:rsid w:val="00A36E14"/>
    <w:rsid w:val="00A36F86"/>
    <w:rsid w:val="00A379B5"/>
    <w:rsid w:val="00A37E64"/>
    <w:rsid w:val="00A37EB8"/>
    <w:rsid w:val="00A40BC5"/>
    <w:rsid w:val="00A40BEE"/>
    <w:rsid w:val="00A40CE5"/>
    <w:rsid w:val="00A4108A"/>
    <w:rsid w:val="00A41628"/>
    <w:rsid w:val="00A41808"/>
    <w:rsid w:val="00A41944"/>
    <w:rsid w:val="00A423D0"/>
    <w:rsid w:val="00A423FC"/>
    <w:rsid w:val="00A43532"/>
    <w:rsid w:val="00A43911"/>
    <w:rsid w:val="00A44F3C"/>
    <w:rsid w:val="00A45312"/>
    <w:rsid w:val="00A457FA"/>
    <w:rsid w:val="00A46474"/>
    <w:rsid w:val="00A47072"/>
    <w:rsid w:val="00A4737D"/>
    <w:rsid w:val="00A474C6"/>
    <w:rsid w:val="00A475BB"/>
    <w:rsid w:val="00A47B80"/>
    <w:rsid w:val="00A47FD4"/>
    <w:rsid w:val="00A505E6"/>
    <w:rsid w:val="00A509A8"/>
    <w:rsid w:val="00A5107F"/>
    <w:rsid w:val="00A5134B"/>
    <w:rsid w:val="00A514C5"/>
    <w:rsid w:val="00A51534"/>
    <w:rsid w:val="00A519AB"/>
    <w:rsid w:val="00A51CEB"/>
    <w:rsid w:val="00A521C4"/>
    <w:rsid w:val="00A5278C"/>
    <w:rsid w:val="00A536A6"/>
    <w:rsid w:val="00A53C27"/>
    <w:rsid w:val="00A54745"/>
    <w:rsid w:val="00A547A7"/>
    <w:rsid w:val="00A553B6"/>
    <w:rsid w:val="00A560D8"/>
    <w:rsid w:val="00A5689F"/>
    <w:rsid w:val="00A56CE6"/>
    <w:rsid w:val="00A56DBB"/>
    <w:rsid w:val="00A57043"/>
    <w:rsid w:val="00A57A51"/>
    <w:rsid w:val="00A57D8F"/>
    <w:rsid w:val="00A60085"/>
    <w:rsid w:val="00A60334"/>
    <w:rsid w:val="00A60CD8"/>
    <w:rsid w:val="00A60D0E"/>
    <w:rsid w:val="00A60DCE"/>
    <w:rsid w:val="00A615DC"/>
    <w:rsid w:val="00A61C57"/>
    <w:rsid w:val="00A61F6B"/>
    <w:rsid w:val="00A623B3"/>
    <w:rsid w:val="00A62509"/>
    <w:rsid w:val="00A62524"/>
    <w:rsid w:val="00A627D3"/>
    <w:rsid w:val="00A628F0"/>
    <w:rsid w:val="00A63157"/>
    <w:rsid w:val="00A6321D"/>
    <w:rsid w:val="00A635D0"/>
    <w:rsid w:val="00A6362A"/>
    <w:rsid w:val="00A63748"/>
    <w:rsid w:val="00A63F11"/>
    <w:rsid w:val="00A63F4B"/>
    <w:rsid w:val="00A63F61"/>
    <w:rsid w:val="00A6477A"/>
    <w:rsid w:val="00A648AD"/>
    <w:rsid w:val="00A64AC4"/>
    <w:rsid w:val="00A65514"/>
    <w:rsid w:val="00A6637E"/>
    <w:rsid w:val="00A66EF9"/>
    <w:rsid w:val="00A6761C"/>
    <w:rsid w:val="00A67B37"/>
    <w:rsid w:val="00A67BD4"/>
    <w:rsid w:val="00A67F45"/>
    <w:rsid w:val="00A7010E"/>
    <w:rsid w:val="00A7019D"/>
    <w:rsid w:val="00A703E7"/>
    <w:rsid w:val="00A70880"/>
    <w:rsid w:val="00A717D3"/>
    <w:rsid w:val="00A71AED"/>
    <w:rsid w:val="00A71B86"/>
    <w:rsid w:val="00A721D9"/>
    <w:rsid w:val="00A722BF"/>
    <w:rsid w:val="00A7236C"/>
    <w:rsid w:val="00A727FB"/>
    <w:rsid w:val="00A72B84"/>
    <w:rsid w:val="00A72B96"/>
    <w:rsid w:val="00A72FF7"/>
    <w:rsid w:val="00A73121"/>
    <w:rsid w:val="00A734C6"/>
    <w:rsid w:val="00A73AAD"/>
    <w:rsid w:val="00A73EBE"/>
    <w:rsid w:val="00A7403D"/>
    <w:rsid w:val="00A74528"/>
    <w:rsid w:val="00A75133"/>
    <w:rsid w:val="00A75482"/>
    <w:rsid w:val="00A7565B"/>
    <w:rsid w:val="00A75AFD"/>
    <w:rsid w:val="00A76359"/>
    <w:rsid w:val="00A76806"/>
    <w:rsid w:val="00A769AA"/>
    <w:rsid w:val="00A77789"/>
    <w:rsid w:val="00A778CE"/>
    <w:rsid w:val="00A77B09"/>
    <w:rsid w:val="00A77C7A"/>
    <w:rsid w:val="00A80298"/>
    <w:rsid w:val="00A807ED"/>
    <w:rsid w:val="00A80A52"/>
    <w:rsid w:val="00A80A77"/>
    <w:rsid w:val="00A80AF5"/>
    <w:rsid w:val="00A80CCD"/>
    <w:rsid w:val="00A81507"/>
    <w:rsid w:val="00A8165A"/>
    <w:rsid w:val="00A81A2F"/>
    <w:rsid w:val="00A81B09"/>
    <w:rsid w:val="00A81BEB"/>
    <w:rsid w:val="00A8284D"/>
    <w:rsid w:val="00A8292A"/>
    <w:rsid w:val="00A82C1B"/>
    <w:rsid w:val="00A830A4"/>
    <w:rsid w:val="00A83786"/>
    <w:rsid w:val="00A83AA8"/>
    <w:rsid w:val="00A83EC4"/>
    <w:rsid w:val="00A84058"/>
    <w:rsid w:val="00A84396"/>
    <w:rsid w:val="00A8472A"/>
    <w:rsid w:val="00A84988"/>
    <w:rsid w:val="00A84B75"/>
    <w:rsid w:val="00A8619B"/>
    <w:rsid w:val="00A867A3"/>
    <w:rsid w:val="00A867F6"/>
    <w:rsid w:val="00A8715A"/>
    <w:rsid w:val="00A874AE"/>
    <w:rsid w:val="00A87763"/>
    <w:rsid w:val="00A878FB"/>
    <w:rsid w:val="00A9047E"/>
    <w:rsid w:val="00A90F5C"/>
    <w:rsid w:val="00A916F3"/>
    <w:rsid w:val="00A917CE"/>
    <w:rsid w:val="00A9188E"/>
    <w:rsid w:val="00A935B0"/>
    <w:rsid w:val="00A93F0E"/>
    <w:rsid w:val="00A94149"/>
    <w:rsid w:val="00A95944"/>
    <w:rsid w:val="00A95BC4"/>
    <w:rsid w:val="00A960CE"/>
    <w:rsid w:val="00A96165"/>
    <w:rsid w:val="00A96262"/>
    <w:rsid w:val="00A96E5F"/>
    <w:rsid w:val="00A97146"/>
    <w:rsid w:val="00A97382"/>
    <w:rsid w:val="00A97E7A"/>
    <w:rsid w:val="00AA0264"/>
    <w:rsid w:val="00AA0BB9"/>
    <w:rsid w:val="00AA3033"/>
    <w:rsid w:val="00AA3350"/>
    <w:rsid w:val="00AA34B2"/>
    <w:rsid w:val="00AA35FE"/>
    <w:rsid w:val="00AA3E2F"/>
    <w:rsid w:val="00AA4119"/>
    <w:rsid w:val="00AA414C"/>
    <w:rsid w:val="00AA41C6"/>
    <w:rsid w:val="00AA47C9"/>
    <w:rsid w:val="00AA4BC9"/>
    <w:rsid w:val="00AA4F5A"/>
    <w:rsid w:val="00AA5510"/>
    <w:rsid w:val="00AA5568"/>
    <w:rsid w:val="00AA558B"/>
    <w:rsid w:val="00AA5FD2"/>
    <w:rsid w:val="00AA638C"/>
    <w:rsid w:val="00AA6568"/>
    <w:rsid w:val="00AA719D"/>
    <w:rsid w:val="00AA71CF"/>
    <w:rsid w:val="00AA747B"/>
    <w:rsid w:val="00AA78C3"/>
    <w:rsid w:val="00AA79AD"/>
    <w:rsid w:val="00AA7C9B"/>
    <w:rsid w:val="00AB130D"/>
    <w:rsid w:val="00AB13B9"/>
    <w:rsid w:val="00AB1401"/>
    <w:rsid w:val="00AB264F"/>
    <w:rsid w:val="00AB2BC6"/>
    <w:rsid w:val="00AB2FA6"/>
    <w:rsid w:val="00AB3359"/>
    <w:rsid w:val="00AB35DD"/>
    <w:rsid w:val="00AB392B"/>
    <w:rsid w:val="00AB4EEF"/>
    <w:rsid w:val="00AB4FB7"/>
    <w:rsid w:val="00AB5485"/>
    <w:rsid w:val="00AB5C15"/>
    <w:rsid w:val="00AB6A05"/>
    <w:rsid w:val="00AB709A"/>
    <w:rsid w:val="00AB71B1"/>
    <w:rsid w:val="00AB7534"/>
    <w:rsid w:val="00AC0229"/>
    <w:rsid w:val="00AC056A"/>
    <w:rsid w:val="00AC0CF7"/>
    <w:rsid w:val="00AC1381"/>
    <w:rsid w:val="00AC223A"/>
    <w:rsid w:val="00AC227A"/>
    <w:rsid w:val="00AC2BB7"/>
    <w:rsid w:val="00AC35C9"/>
    <w:rsid w:val="00AC39C2"/>
    <w:rsid w:val="00AC46E1"/>
    <w:rsid w:val="00AC4815"/>
    <w:rsid w:val="00AC4B96"/>
    <w:rsid w:val="00AC4D32"/>
    <w:rsid w:val="00AC5399"/>
    <w:rsid w:val="00AC56B6"/>
    <w:rsid w:val="00AC5700"/>
    <w:rsid w:val="00AC62F7"/>
    <w:rsid w:val="00AC680F"/>
    <w:rsid w:val="00AC68A7"/>
    <w:rsid w:val="00AC71A9"/>
    <w:rsid w:val="00AC7CAC"/>
    <w:rsid w:val="00AC7D29"/>
    <w:rsid w:val="00AD0120"/>
    <w:rsid w:val="00AD04AE"/>
    <w:rsid w:val="00AD0E35"/>
    <w:rsid w:val="00AD109E"/>
    <w:rsid w:val="00AD1348"/>
    <w:rsid w:val="00AD1500"/>
    <w:rsid w:val="00AD190A"/>
    <w:rsid w:val="00AD2000"/>
    <w:rsid w:val="00AD20B2"/>
    <w:rsid w:val="00AD20E2"/>
    <w:rsid w:val="00AD2773"/>
    <w:rsid w:val="00AD37E1"/>
    <w:rsid w:val="00AD3954"/>
    <w:rsid w:val="00AD418A"/>
    <w:rsid w:val="00AD436F"/>
    <w:rsid w:val="00AD4988"/>
    <w:rsid w:val="00AD5147"/>
    <w:rsid w:val="00AD565B"/>
    <w:rsid w:val="00AD5740"/>
    <w:rsid w:val="00AD5B7B"/>
    <w:rsid w:val="00AD5BA0"/>
    <w:rsid w:val="00AD5EEC"/>
    <w:rsid w:val="00AD681A"/>
    <w:rsid w:val="00AD6F53"/>
    <w:rsid w:val="00AD7789"/>
    <w:rsid w:val="00AD78D4"/>
    <w:rsid w:val="00AD7C05"/>
    <w:rsid w:val="00AD7EB6"/>
    <w:rsid w:val="00AE0B82"/>
    <w:rsid w:val="00AE0BFA"/>
    <w:rsid w:val="00AE0DCF"/>
    <w:rsid w:val="00AE185C"/>
    <w:rsid w:val="00AE1DD7"/>
    <w:rsid w:val="00AE1FE3"/>
    <w:rsid w:val="00AE2D20"/>
    <w:rsid w:val="00AE2F23"/>
    <w:rsid w:val="00AE358E"/>
    <w:rsid w:val="00AE3696"/>
    <w:rsid w:val="00AE391E"/>
    <w:rsid w:val="00AE3999"/>
    <w:rsid w:val="00AE39E1"/>
    <w:rsid w:val="00AE4294"/>
    <w:rsid w:val="00AE441A"/>
    <w:rsid w:val="00AE4667"/>
    <w:rsid w:val="00AE4C9D"/>
    <w:rsid w:val="00AE5251"/>
    <w:rsid w:val="00AE611F"/>
    <w:rsid w:val="00AE6D4B"/>
    <w:rsid w:val="00AE6FC9"/>
    <w:rsid w:val="00AE75F9"/>
    <w:rsid w:val="00AE7E21"/>
    <w:rsid w:val="00AE7F5C"/>
    <w:rsid w:val="00AF2265"/>
    <w:rsid w:val="00AF2311"/>
    <w:rsid w:val="00AF2450"/>
    <w:rsid w:val="00AF2EC7"/>
    <w:rsid w:val="00AF3521"/>
    <w:rsid w:val="00AF3AEF"/>
    <w:rsid w:val="00AF3BD9"/>
    <w:rsid w:val="00AF3C81"/>
    <w:rsid w:val="00AF3CC6"/>
    <w:rsid w:val="00AF3E34"/>
    <w:rsid w:val="00AF4DA5"/>
    <w:rsid w:val="00AF4F81"/>
    <w:rsid w:val="00AF5711"/>
    <w:rsid w:val="00AF5833"/>
    <w:rsid w:val="00AF5C54"/>
    <w:rsid w:val="00AF5C5B"/>
    <w:rsid w:val="00AF658C"/>
    <w:rsid w:val="00AF67B0"/>
    <w:rsid w:val="00AF6A67"/>
    <w:rsid w:val="00AF6CA5"/>
    <w:rsid w:val="00AF6D0C"/>
    <w:rsid w:val="00AF6E9D"/>
    <w:rsid w:val="00AF717F"/>
    <w:rsid w:val="00AF75DA"/>
    <w:rsid w:val="00B0092E"/>
    <w:rsid w:val="00B01CE9"/>
    <w:rsid w:val="00B027ED"/>
    <w:rsid w:val="00B02A25"/>
    <w:rsid w:val="00B02C2B"/>
    <w:rsid w:val="00B02D64"/>
    <w:rsid w:val="00B032A5"/>
    <w:rsid w:val="00B05642"/>
    <w:rsid w:val="00B05DBF"/>
    <w:rsid w:val="00B066BD"/>
    <w:rsid w:val="00B06ABF"/>
    <w:rsid w:val="00B07069"/>
    <w:rsid w:val="00B100BE"/>
    <w:rsid w:val="00B102AD"/>
    <w:rsid w:val="00B10AAB"/>
    <w:rsid w:val="00B10B33"/>
    <w:rsid w:val="00B10E33"/>
    <w:rsid w:val="00B110CD"/>
    <w:rsid w:val="00B11939"/>
    <w:rsid w:val="00B12595"/>
    <w:rsid w:val="00B1324C"/>
    <w:rsid w:val="00B13F30"/>
    <w:rsid w:val="00B155C5"/>
    <w:rsid w:val="00B15E8B"/>
    <w:rsid w:val="00B16045"/>
    <w:rsid w:val="00B16838"/>
    <w:rsid w:val="00B16924"/>
    <w:rsid w:val="00B16D17"/>
    <w:rsid w:val="00B17019"/>
    <w:rsid w:val="00B17169"/>
    <w:rsid w:val="00B17315"/>
    <w:rsid w:val="00B20664"/>
    <w:rsid w:val="00B2077B"/>
    <w:rsid w:val="00B211AB"/>
    <w:rsid w:val="00B211EC"/>
    <w:rsid w:val="00B2147B"/>
    <w:rsid w:val="00B214D8"/>
    <w:rsid w:val="00B2150D"/>
    <w:rsid w:val="00B21D68"/>
    <w:rsid w:val="00B2247E"/>
    <w:rsid w:val="00B225D8"/>
    <w:rsid w:val="00B23291"/>
    <w:rsid w:val="00B234BD"/>
    <w:rsid w:val="00B238C6"/>
    <w:rsid w:val="00B23CD9"/>
    <w:rsid w:val="00B23FB0"/>
    <w:rsid w:val="00B24812"/>
    <w:rsid w:val="00B24AD9"/>
    <w:rsid w:val="00B25002"/>
    <w:rsid w:val="00B250AF"/>
    <w:rsid w:val="00B251F0"/>
    <w:rsid w:val="00B260F8"/>
    <w:rsid w:val="00B26CE3"/>
    <w:rsid w:val="00B273A9"/>
    <w:rsid w:val="00B27CED"/>
    <w:rsid w:val="00B30216"/>
    <w:rsid w:val="00B30B39"/>
    <w:rsid w:val="00B31D29"/>
    <w:rsid w:val="00B31D5F"/>
    <w:rsid w:val="00B31DED"/>
    <w:rsid w:val="00B3206C"/>
    <w:rsid w:val="00B3248E"/>
    <w:rsid w:val="00B33705"/>
    <w:rsid w:val="00B33A27"/>
    <w:rsid w:val="00B34308"/>
    <w:rsid w:val="00B3461D"/>
    <w:rsid w:val="00B34F1B"/>
    <w:rsid w:val="00B35218"/>
    <w:rsid w:val="00B36426"/>
    <w:rsid w:val="00B3652C"/>
    <w:rsid w:val="00B3673D"/>
    <w:rsid w:val="00B368D1"/>
    <w:rsid w:val="00B37652"/>
    <w:rsid w:val="00B37BE8"/>
    <w:rsid w:val="00B37EE5"/>
    <w:rsid w:val="00B407E4"/>
    <w:rsid w:val="00B40B0D"/>
    <w:rsid w:val="00B41019"/>
    <w:rsid w:val="00B413F7"/>
    <w:rsid w:val="00B41A1D"/>
    <w:rsid w:val="00B41F7E"/>
    <w:rsid w:val="00B42359"/>
    <w:rsid w:val="00B4236A"/>
    <w:rsid w:val="00B4255B"/>
    <w:rsid w:val="00B426B6"/>
    <w:rsid w:val="00B42C5A"/>
    <w:rsid w:val="00B435B7"/>
    <w:rsid w:val="00B436AE"/>
    <w:rsid w:val="00B44595"/>
    <w:rsid w:val="00B448EC"/>
    <w:rsid w:val="00B44D64"/>
    <w:rsid w:val="00B44DE0"/>
    <w:rsid w:val="00B462C6"/>
    <w:rsid w:val="00B46811"/>
    <w:rsid w:val="00B46859"/>
    <w:rsid w:val="00B4695D"/>
    <w:rsid w:val="00B46D59"/>
    <w:rsid w:val="00B47E94"/>
    <w:rsid w:val="00B504B9"/>
    <w:rsid w:val="00B5078E"/>
    <w:rsid w:val="00B50F25"/>
    <w:rsid w:val="00B51303"/>
    <w:rsid w:val="00B51403"/>
    <w:rsid w:val="00B5187B"/>
    <w:rsid w:val="00B52337"/>
    <w:rsid w:val="00B524FD"/>
    <w:rsid w:val="00B52814"/>
    <w:rsid w:val="00B53736"/>
    <w:rsid w:val="00B53E79"/>
    <w:rsid w:val="00B53FA4"/>
    <w:rsid w:val="00B54AF1"/>
    <w:rsid w:val="00B54C97"/>
    <w:rsid w:val="00B54E35"/>
    <w:rsid w:val="00B55245"/>
    <w:rsid w:val="00B554BA"/>
    <w:rsid w:val="00B559DA"/>
    <w:rsid w:val="00B55A00"/>
    <w:rsid w:val="00B567FE"/>
    <w:rsid w:val="00B56D7F"/>
    <w:rsid w:val="00B56E3F"/>
    <w:rsid w:val="00B57BA8"/>
    <w:rsid w:val="00B60628"/>
    <w:rsid w:val="00B60A7A"/>
    <w:rsid w:val="00B614FF"/>
    <w:rsid w:val="00B621ED"/>
    <w:rsid w:val="00B6237B"/>
    <w:rsid w:val="00B628A0"/>
    <w:rsid w:val="00B62BC2"/>
    <w:rsid w:val="00B63D56"/>
    <w:rsid w:val="00B63DFA"/>
    <w:rsid w:val="00B64C84"/>
    <w:rsid w:val="00B65772"/>
    <w:rsid w:val="00B65828"/>
    <w:rsid w:val="00B6585E"/>
    <w:rsid w:val="00B659E3"/>
    <w:rsid w:val="00B6649C"/>
    <w:rsid w:val="00B66904"/>
    <w:rsid w:val="00B669FC"/>
    <w:rsid w:val="00B66CA0"/>
    <w:rsid w:val="00B6725E"/>
    <w:rsid w:val="00B673C0"/>
    <w:rsid w:val="00B679D2"/>
    <w:rsid w:val="00B70948"/>
    <w:rsid w:val="00B70FB3"/>
    <w:rsid w:val="00B7213A"/>
    <w:rsid w:val="00B7379A"/>
    <w:rsid w:val="00B73A55"/>
    <w:rsid w:val="00B74169"/>
    <w:rsid w:val="00B7431C"/>
    <w:rsid w:val="00B749AB"/>
    <w:rsid w:val="00B7502A"/>
    <w:rsid w:val="00B75161"/>
    <w:rsid w:val="00B7563F"/>
    <w:rsid w:val="00B756E4"/>
    <w:rsid w:val="00B757AA"/>
    <w:rsid w:val="00B7622F"/>
    <w:rsid w:val="00B766D3"/>
    <w:rsid w:val="00B7686B"/>
    <w:rsid w:val="00B76A33"/>
    <w:rsid w:val="00B76F4E"/>
    <w:rsid w:val="00B77079"/>
    <w:rsid w:val="00B77315"/>
    <w:rsid w:val="00B775C7"/>
    <w:rsid w:val="00B777E9"/>
    <w:rsid w:val="00B77A36"/>
    <w:rsid w:val="00B81088"/>
    <w:rsid w:val="00B810B8"/>
    <w:rsid w:val="00B8222B"/>
    <w:rsid w:val="00B82303"/>
    <w:rsid w:val="00B82C93"/>
    <w:rsid w:val="00B82D53"/>
    <w:rsid w:val="00B84361"/>
    <w:rsid w:val="00B84CB0"/>
    <w:rsid w:val="00B84F9B"/>
    <w:rsid w:val="00B8534A"/>
    <w:rsid w:val="00B85FE2"/>
    <w:rsid w:val="00B86732"/>
    <w:rsid w:val="00B86C85"/>
    <w:rsid w:val="00B871AF"/>
    <w:rsid w:val="00B877F4"/>
    <w:rsid w:val="00B90E19"/>
    <w:rsid w:val="00B91025"/>
    <w:rsid w:val="00B9207A"/>
    <w:rsid w:val="00B929EC"/>
    <w:rsid w:val="00B92C4C"/>
    <w:rsid w:val="00B939D8"/>
    <w:rsid w:val="00B93A1F"/>
    <w:rsid w:val="00B9405C"/>
    <w:rsid w:val="00B940DF"/>
    <w:rsid w:val="00B9454B"/>
    <w:rsid w:val="00B948B1"/>
    <w:rsid w:val="00B95C18"/>
    <w:rsid w:val="00B9633D"/>
    <w:rsid w:val="00B96EAE"/>
    <w:rsid w:val="00B970FD"/>
    <w:rsid w:val="00BA004D"/>
    <w:rsid w:val="00BA09F9"/>
    <w:rsid w:val="00BA18B0"/>
    <w:rsid w:val="00BA1976"/>
    <w:rsid w:val="00BA1BDA"/>
    <w:rsid w:val="00BA1C9F"/>
    <w:rsid w:val="00BA22CB"/>
    <w:rsid w:val="00BA240A"/>
    <w:rsid w:val="00BA3404"/>
    <w:rsid w:val="00BA3901"/>
    <w:rsid w:val="00BA4029"/>
    <w:rsid w:val="00BA43F7"/>
    <w:rsid w:val="00BA459C"/>
    <w:rsid w:val="00BA4E72"/>
    <w:rsid w:val="00BA57B2"/>
    <w:rsid w:val="00BA5A5C"/>
    <w:rsid w:val="00BA5B6C"/>
    <w:rsid w:val="00BA67F1"/>
    <w:rsid w:val="00BA68E1"/>
    <w:rsid w:val="00BA6E60"/>
    <w:rsid w:val="00BA70D5"/>
    <w:rsid w:val="00BA7842"/>
    <w:rsid w:val="00BA79D6"/>
    <w:rsid w:val="00BA7CBF"/>
    <w:rsid w:val="00BB061C"/>
    <w:rsid w:val="00BB1E50"/>
    <w:rsid w:val="00BB22F7"/>
    <w:rsid w:val="00BB3258"/>
    <w:rsid w:val="00BB36D8"/>
    <w:rsid w:val="00BB3D8E"/>
    <w:rsid w:val="00BB4317"/>
    <w:rsid w:val="00BB4A08"/>
    <w:rsid w:val="00BB5C41"/>
    <w:rsid w:val="00BB624C"/>
    <w:rsid w:val="00BB6868"/>
    <w:rsid w:val="00BB6948"/>
    <w:rsid w:val="00BB69EA"/>
    <w:rsid w:val="00BB6AE9"/>
    <w:rsid w:val="00BB6C8A"/>
    <w:rsid w:val="00BB740E"/>
    <w:rsid w:val="00BB7727"/>
    <w:rsid w:val="00BC0463"/>
    <w:rsid w:val="00BC1194"/>
    <w:rsid w:val="00BC1B8F"/>
    <w:rsid w:val="00BC1EE9"/>
    <w:rsid w:val="00BC2283"/>
    <w:rsid w:val="00BC2698"/>
    <w:rsid w:val="00BC2F1E"/>
    <w:rsid w:val="00BC35AC"/>
    <w:rsid w:val="00BC3DB8"/>
    <w:rsid w:val="00BC3F17"/>
    <w:rsid w:val="00BC3FFD"/>
    <w:rsid w:val="00BC48AB"/>
    <w:rsid w:val="00BC48C6"/>
    <w:rsid w:val="00BC4E91"/>
    <w:rsid w:val="00BC5219"/>
    <w:rsid w:val="00BC5814"/>
    <w:rsid w:val="00BC6125"/>
    <w:rsid w:val="00BC613A"/>
    <w:rsid w:val="00BC6378"/>
    <w:rsid w:val="00BC6A08"/>
    <w:rsid w:val="00BC6AEB"/>
    <w:rsid w:val="00BC768B"/>
    <w:rsid w:val="00BC7829"/>
    <w:rsid w:val="00BC788D"/>
    <w:rsid w:val="00BD03BA"/>
    <w:rsid w:val="00BD0B76"/>
    <w:rsid w:val="00BD0FE9"/>
    <w:rsid w:val="00BD13AC"/>
    <w:rsid w:val="00BD1441"/>
    <w:rsid w:val="00BD152F"/>
    <w:rsid w:val="00BD1804"/>
    <w:rsid w:val="00BD1A48"/>
    <w:rsid w:val="00BD209D"/>
    <w:rsid w:val="00BD210C"/>
    <w:rsid w:val="00BD2493"/>
    <w:rsid w:val="00BD2972"/>
    <w:rsid w:val="00BD2980"/>
    <w:rsid w:val="00BD2E0F"/>
    <w:rsid w:val="00BD3A35"/>
    <w:rsid w:val="00BD445F"/>
    <w:rsid w:val="00BD4556"/>
    <w:rsid w:val="00BD4710"/>
    <w:rsid w:val="00BD490C"/>
    <w:rsid w:val="00BD5627"/>
    <w:rsid w:val="00BD579A"/>
    <w:rsid w:val="00BD61C4"/>
    <w:rsid w:val="00BD6864"/>
    <w:rsid w:val="00BD693E"/>
    <w:rsid w:val="00BD7597"/>
    <w:rsid w:val="00BD766F"/>
    <w:rsid w:val="00BD7731"/>
    <w:rsid w:val="00BD7C64"/>
    <w:rsid w:val="00BD7CA0"/>
    <w:rsid w:val="00BE0A0D"/>
    <w:rsid w:val="00BE0D14"/>
    <w:rsid w:val="00BE1855"/>
    <w:rsid w:val="00BE29EB"/>
    <w:rsid w:val="00BE3295"/>
    <w:rsid w:val="00BE3EA4"/>
    <w:rsid w:val="00BE41BD"/>
    <w:rsid w:val="00BE46BD"/>
    <w:rsid w:val="00BE4E1D"/>
    <w:rsid w:val="00BE5542"/>
    <w:rsid w:val="00BE5AE9"/>
    <w:rsid w:val="00BE5C3F"/>
    <w:rsid w:val="00BE5FB1"/>
    <w:rsid w:val="00BE61DF"/>
    <w:rsid w:val="00BE6206"/>
    <w:rsid w:val="00BE6579"/>
    <w:rsid w:val="00BE6C2A"/>
    <w:rsid w:val="00BE6F7E"/>
    <w:rsid w:val="00BE7131"/>
    <w:rsid w:val="00BE7364"/>
    <w:rsid w:val="00BE7421"/>
    <w:rsid w:val="00BE7503"/>
    <w:rsid w:val="00BE7ED9"/>
    <w:rsid w:val="00BF158D"/>
    <w:rsid w:val="00BF1653"/>
    <w:rsid w:val="00BF1771"/>
    <w:rsid w:val="00BF1A7F"/>
    <w:rsid w:val="00BF1CB1"/>
    <w:rsid w:val="00BF1D2B"/>
    <w:rsid w:val="00BF1DE9"/>
    <w:rsid w:val="00BF2002"/>
    <w:rsid w:val="00BF2354"/>
    <w:rsid w:val="00BF2556"/>
    <w:rsid w:val="00BF2A87"/>
    <w:rsid w:val="00BF2F0E"/>
    <w:rsid w:val="00BF2F5F"/>
    <w:rsid w:val="00BF3E3B"/>
    <w:rsid w:val="00BF4078"/>
    <w:rsid w:val="00BF4372"/>
    <w:rsid w:val="00BF4CA2"/>
    <w:rsid w:val="00BF4D3F"/>
    <w:rsid w:val="00BF4F01"/>
    <w:rsid w:val="00BF4F81"/>
    <w:rsid w:val="00BF50A1"/>
    <w:rsid w:val="00BF5368"/>
    <w:rsid w:val="00BF55FF"/>
    <w:rsid w:val="00BF56CC"/>
    <w:rsid w:val="00BF5739"/>
    <w:rsid w:val="00BF5814"/>
    <w:rsid w:val="00BF594E"/>
    <w:rsid w:val="00BF59CD"/>
    <w:rsid w:val="00BF63DC"/>
    <w:rsid w:val="00BF68E0"/>
    <w:rsid w:val="00BF6E99"/>
    <w:rsid w:val="00BF701B"/>
    <w:rsid w:val="00BF7792"/>
    <w:rsid w:val="00BF7BDB"/>
    <w:rsid w:val="00C00100"/>
    <w:rsid w:val="00C009AF"/>
    <w:rsid w:val="00C00A57"/>
    <w:rsid w:val="00C00C75"/>
    <w:rsid w:val="00C01976"/>
    <w:rsid w:val="00C01D9D"/>
    <w:rsid w:val="00C01EB3"/>
    <w:rsid w:val="00C02065"/>
    <w:rsid w:val="00C02416"/>
    <w:rsid w:val="00C02585"/>
    <w:rsid w:val="00C031D2"/>
    <w:rsid w:val="00C0320C"/>
    <w:rsid w:val="00C03372"/>
    <w:rsid w:val="00C03500"/>
    <w:rsid w:val="00C03D55"/>
    <w:rsid w:val="00C05430"/>
    <w:rsid w:val="00C05483"/>
    <w:rsid w:val="00C0563C"/>
    <w:rsid w:val="00C06425"/>
    <w:rsid w:val="00C066EF"/>
    <w:rsid w:val="00C06A42"/>
    <w:rsid w:val="00C06C17"/>
    <w:rsid w:val="00C0701B"/>
    <w:rsid w:val="00C073F4"/>
    <w:rsid w:val="00C078D5"/>
    <w:rsid w:val="00C07B22"/>
    <w:rsid w:val="00C104A3"/>
    <w:rsid w:val="00C10567"/>
    <w:rsid w:val="00C1079E"/>
    <w:rsid w:val="00C108C2"/>
    <w:rsid w:val="00C108D7"/>
    <w:rsid w:val="00C11084"/>
    <w:rsid w:val="00C1110E"/>
    <w:rsid w:val="00C11BC4"/>
    <w:rsid w:val="00C11DC3"/>
    <w:rsid w:val="00C12079"/>
    <w:rsid w:val="00C121ED"/>
    <w:rsid w:val="00C122F7"/>
    <w:rsid w:val="00C125E9"/>
    <w:rsid w:val="00C12C26"/>
    <w:rsid w:val="00C1344F"/>
    <w:rsid w:val="00C13E94"/>
    <w:rsid w:val="00C14306"/>
    <w:rsid w:val="00C148E6"/>
    <w:rsid w:val="00C14917"/>
    <w:rsid w:val="00C14A35"/>
    <w:rsid w:val="00C14DA6"/>
    <w:rsid w:val="00C15CF5"/>
    <w:rsid w:val="00C16244"/>
    <w:rsid w:val="00C16311"/>
    <w:rsid w:val="00C163CB"/>
    <w:rsid w:val="00C16A98"/>
    <w:rsid w:val="00C16E9B"/>
    <w:rsid w:val="00C17DFF"/>
    <w:rsid w:val="00C20E78"/>
    <w:rsid w:val="00C20EDE"/>
    <w:rsid w:val="00C21DCE"/>
    <w:rsid w:val="00C21E26"/>
    <w:rsid w:val="00C21F99"/>
    <w:rsid w:val="00C220DC"/>
    <w:rsid w:val="00C226FA"/>
    <w:rsid w:val="00C22817"/>
    <w:rsid w:val="00C22973"/>
    <w:rsid w:val="00C22DF9"/>
    <w:rsid w:val="00C237B9"/>
    <w:rsid w:val="00C24E1E"/>
    <w:rsid w:val="00C2546A"/>
    <w:rsid w:val="00C25A29"/>
    <w:rsid w:val="00C25E5B"/>
    <w:rsid w:val="00C263FD"/>
    <w:rsid w:val="00C26B8B"/>
    <w:rsid w:val="00C26CC1"/>
    <w:rsid w:val="00C26F5E"/>
    <w:rsid w:val="00C2703C"/>
    <w:rsid w:val="00C27118"/>
    <w:rsid w:val="00C2713C"/>
    <w:rsid w:val="00C2735D"/>
    <w:rsid w:val="00C27A9F"/>
    <w:rsid w:val="00C27C99"/>
    <w:rsid w:val="00C27D5B"/>
    <w:rsid w:val="00C27E47"/>
    <w:rsid w:val="00C302D1"/>
    <w:rsid w:val="00C306E7"/>
    <w:rsid w:val="00C30BAB"/>
    <w:rsid w:val="00C3106A"/>
    <w:rsid w:val="00C31077"/>
    <w:rsid w:val="00C311C6"/>
    <w:rsid w:val="00C31224"/>
    <w:rsid w:val="00C3165F"/>
    <w:rsid w:val="00C31947"/>
    <w:rsid w:val="00C31AED"/>
    <w:rsid w:val="00C31C37"/>
    <w:rsid w:val="00C31C40"/>
    <w:rsid w:val="00C31D93"/>
    <w:rsid w:val="00C3232C"/>
    <w:rsid w:val="00C32E74"/>
    <w:rsid w:val="00C33175"/>
    <w:rsid w:val="00C332D7"/>
    <w:rsid w:val="00C33405"/>
    <w:rsid w:val="00C336F7"/>
    <w:rsid w:val="00C3384D"/>
    <w:rsid w:val="00C33D23"/>
    <w:rsid w:val="00C3462F"/>
    <w:rsid w:val="00C349D4"/>
    <w:rsid w:val="00C34A38"/>
    <w:rsid w:val="00C35D41"/>
    <w:rsid w:val="00C36471"/>
    <w:rsid w:val="00C36C95"/>
    <w:rsid w:val="00C37AB4"/>
    <w:rsid w:val="00C41370"/>
    <w:rsid w:val="00C419B0"/>
    <w:rsid w:val="00C42360"/>
    <w:rsid w:val="00C42A14"/>
    <w:rsid w:val="00C42CE1"/>
    <w:rsid w:val="00C42E37"/>
    <w:rsid w:val="00C43422"/>
    <w:rsid w:val="00C43778"/>
    <w:rsid w:val="00C43F9B"/>
    <w:rsid w:val="00C444FA"/>
    <w:rsid w:val="00C44555"/>
    <w:rsid w:val="00C46C46"/>
    <w:rsid w:val="00C471FB"/>
    <w:rsid w:val="00C473F0"/>
    <w:rsid w:val="00C47872"/>
    <w:rsid w:val="00C47A91"/>
    <w:rsid w:val="00C47D29"/>
    <w:rsid w:val="00C50621"/>
    <w:rsid w:val="00C5096E"/>
    <w:rsid w:val="00C50C2A"/>
    <w:rsid w:val="00C50CF0"/>
    <w:rsid w:val="00C50D17"/>
    <w:rsid w:val="00C50D63"/>
    <w:rsid w:val="00C51951"/>
    <w:rsid w:val="00C52019"/>
    <w:rsid w:val="00C5205D"/>
    <w:rsid w:val="00C5248C"/>
    <w:rsid w:val="00C52633"/>
    <w:rsid w:val="00C52725"/>
    <w:rsid w:val="00C5275F"/>
    <w:rsid w:val="00C53371"/>
    <w:rsid w:val="00C542ED"/>
    <w:rsid w:val="00C54CAB"/>
    <w:rsid w:val="00C558A2"/>
    <w:rsid w:val="00C55F10"/>
    <w:rsid w:val="00C56596"/>
    <w:rsid w:val="00C565E6"/>
    <w:rsid w:val="00C567A2"/>
    <w:rsid w:val="00C567B7"/>
    <w:rsid w:val="00C56B58"/>
    <w:rsid w:val="00C56C71"/>
    <w:rsid w:val="00C56F42"/>
    <w:rsid w:val="00C57189"/>
    <w:rsid w:val="00C57524"/>
    <w:rsid w:val="00C576DA"/>
    <w:rsid w:val="00C5786F"/>
    <w:rsid w:val="00C57A96"/>
    <w:rsid w:val="00C57D0B"/>
    <w:rsid w:val="00C57F91"/>
    <w:rsid w:val="00C60A0B"/>
    <w:rsid w:val="00C617BE"/>
    <w:rsid w:val="00C63152"/>
    <w:rsid w:val="00C6345F"/>
    <w:rsid w:val="00C63AC6"/>
    <w:rsid w:val="00C63EFC"/>
    <w:rsid w:val="00C64279"/>
    <w:rsid w:val="00C644F1"/>
    <w:rsid w:val="00C645B4"/>
    <w:rsid w:val="00C652EE"/>
    <w:rsid w:val="00C65466"/>
    <w:rsid w:val="00C65CF2"/>
    <w:rsid w:val="00C65ED9"/>
    <w:rsid w:val="00C664E7"/>
    <w:rsid w:val="00C66858"/>
    <w:rsid w:val="00C67BB1"/>
    <w:rsid w:val="00C70004"/>
    <w:rsid w:val="00C7098F"/>
    <w:rsid w:val="00C71C7C"/>
    <w:rsid w:val="00C72062"/>
    <w:rsid w:val="00C726B6"/>
    <w:rsid w:val="00C72820"/>
    <w:rsid w:val="00C72CA8"/>
    <w:rsid w:val="00C72F52"/>
    <w:rsid w:val="00C73D1F"/>
    <w:rsid w:val="00C747BA"/>
    <w:rsid w:val="00C749B3"/>
    <w:rsid w:val="00C756F9"/>
    <w:rsid w:val="00C75E03"/>
    <w:rsid w:val="00C75EDF"/>
    <w:rsid w:val="00C76004"/>
    <w:rsid w:val="00C76006"/>
    <w:rsid w:val="00C76356"/>
    <w:rsid w:val="00C76734"/>
    <w:rsid w:val="00C76BC0"/>
    <w:rsid w:val="00C7790A"/>
    <w:rsid w:val="00C802B3"/>
    <w:rsid w:val="00C81180"/>
    <w:rsid w:val="00C82DCA"/>
    <w:rsid w:val="00C82F60"/>
    <w:rsid w:val="00C831DF"/>
    <w:rsid w:val="00C83A0F"/>
    <w:rsid w:val="00C83C85"/>
    <w:rsid w:val="00C8423D"/>
    <w:rsid w:val="00C8447F"/>
    <w:rsid w:val="00C84AC5"/>
    <w:rsid w:val="00C85490"/>
    <w:rsid w:val="00C859BA"/>
    <w:rsid w:val="00C85C22"/>
    <w:rsid w:val="00C86BC2"/>
    <w:rsid w:val="00C86ED7"/>
    <w:rsid w:val="00C8747B"/>
    <w:rsid w:val="00C87D8A"/>
    <w:rsid w:val="00C90103"/>
    <w:rsid w:val="00C9022C"/>
    <w:rsid w:val="00C90704"/>
    <w:rsid w:val="00C91552"/>
    <w:rsid w:val="00C9235E"/>
    <w:rsid w:val="00C923B8"/>
    <w:rsid w:val="00C92578"/>
    <w:rsid w:val="00C92CC6"/>
    <w:rsid w:val="00C948D6"/>
    <w:rsid w:val="00C949D7"/>
    <w:rsid w:val="00C94DB0"/>
    <w:rsid w:val="00C95317"/>
    <w:rsid w:val="00C95CC2"/>
    <w:rsid w:val="00C95E0F"/>
    <w:rsid w:val="00C95F1E"/>
    <w:rsid w:val="00C96439"/>
    <w:rsid w:val="00C969C6"/>
    <w:rsid w:val="00C96C40"/>
    <w:rsid w:val="00C96DB7"/>
    <w:rsid w:val="00C97C4B"/>
    <w:rsid w:val="00C97DB0"/>
    <w:rsid w:val="00C97EE2"/>
    <w:rsid w:val="00C97F38"/>
    <w:rsid w:val="00C97FB7"/>
    <w:rsid w:val="00CA0538"/>
    <w:rsid w:val="00CA096B"/>
    <w:rsid w:val="00CA1C43"/>
    <w:rsid w:val="00CA211D"/>
    <w:rsid w:val="00CA22DE"/>
    <w:rsid w:val="00CA259B"/>
    <w:rsid w:val="00CA332E"/>
    <w:rsid w:val="00CA363F"/>
    <w:rsid w:val="00CA393D"/>
    <w:rsid w:val="00CA47D3"/>
    <w:rsid w:val="00CA4E24"/>
    <w:rsid w:val="00CA56C1"/>
    <w:rsid w:val="00CA60EC"/>
    <w:rsid w:val="00CA66DB"/>
    <w:rsid w:val="00CA7608"/>
    <w:rsid w:val="00CB0363"/>
    <w:rsid w:val="00CB06CB"/>
    <w:rsid w:val="00CB0E70"/>
    <w:rsid w:val="00CB0F0B"/>
    <w:rsid w:val="00CB1025"/>
    <w:rsid w:val="00CB1558"/>
    <w:rsid w:val="00CB1DBF"/>
    <w:rsid w:val="00CB2099"/>
    <w:rsid w:val="00CB23E4"/>
    <w:rsid w:val="00CB2964"/>
    <w:rsid w:val="00CB325B"/>
    <w:rsid w:val="00CB3D51"/>
    <w:rsid w:val="00CB3D8A"/>
    <w:rsid w:val="00CB3DC2"/>
    <w:rsid w:val="00CB3F2E"/>
    <w:rsid w:val="00CB4F35"/>
    <w:rsid w:val="00CB562B"/>
    <w:rsid w:val="00CB5731"/>
    <w:rsid w:val="00CB5803"/>
    <w:rsid w:val="00CB63DB"/>
    <w:rsid w:val="00CB7A6E"/>
    <w:rsid w:val="00CB7BB5"/>
    <w:rsid w:val="00CC128F"/>
    <w:rsid w:val="00CC148B"/>
    <w:rsid w:val="00CC14A5"/>
    <w:rsid w:val="00CC1C4D"/>
    <w:rsid w:val="00CC1D29"/>
    <w:rsid w:val="00CC2576"/>
    <w:rsid w:val="00CC2876"/>
    <w:rsid w:val="00CC3282"/>
    <w:rsid w:val="00CC3A23"/>
    <w:rsid w:val="00CC3B76"/>
    <w:rsid w:val="00CC48BD"/>
    <w:rsid w:val="00CC48FC"/>
    <w:rsid w:val="00CC540A"/>
    <w:rsid w:val="00CC61D8"/>
    <w:rsid w:val="00CC6793"/>
    <w:rsid w:val="00CC7559"/>
    <w:rsid w:val="00CD0238"/>
    <w:rsid w:val="00CD068F"/>
    <w:rsid w:val="00CD0866"/>
    <w:rsid w:val="00CD0A2E"/>
    <w:rsid w:val="00CD1128"/>
    <w:rsid w:val="00CD1784"/>
    <w:rsid w:val="00CD18CC"/>
    <w:rsid w:val="00CD1E15"/>
    <w:rsid w:val="00CD2F85"/>
    <w:rsid w:val="00CD2FCB"/>
    <w:rsid w:val="00CD3389"/>
    <w:rsid w:val="00CD3D74"/>
    <w:rsid w:val="00CD3DBF"/>
    <w:rsid w:val="00CD4C92"/>
    <w:rsid w:val="00CD54F4"/>
    <w:rsid w:val="00CD62DC"/>
    <w:rsid w:val="00CD6427"/>
    <w:rsid w:val="00CD648F"/>
    <w:rsid w:val="00CD6FD8"/>
    <w:rsid w:val="00CD71B2"/>
    <w:rsid w:val="00CD73CE"/>
    <w:rsid w:val="00CD753E"/>
    <w:rsid w:val="00CD77FC"/>
    <w:rsid w:val="00CD7D27"/>
    <w:rsid w:val="00CE02C8"/>
    <w:rsid w:val="00CE0404"/>
    <w:rsid w:val="00CE0608"/>
    <w:rsid w:val="00CE1374"/>
    <w:rsid w:val="00CE17C2"/>
    <w:rsid w:val="00CE2502"/>
    <w:rsid w:val="00CE251D"/>
    <w:rsid w:val="00CE25A4"/>
    <w:rsid w:val="00CE310F"/>
    <w:rsid w:val="00CE3F54"/>
    <w:rsid w:val="00CE5401"/>
    <w:rsid w:val="00CE5929"/>
    <w:rsid w:val="00CE5C37"/>
    <w:rsid w:val="00CE5D8B"/>
    <w:rsid w:val="00CE5DAE"/>
    <w:rsid w:val="00CE5F85"/>
    <w:rsid w:val="00CE6457"/>
    <w:rsid w:val="00CE64E4"/>
    <w:rsid w:val="00CE67D6"/>
    <w:rsid w:val="00CE6A70"/>
    <w:rsid w:val="00CE7092"/>
    <w:rsid w:val="00CE74DB"/>
    <w:rsid w:val="00CE7807"/>
    <w:rsid w:val="00CE78CA"/>
    <w:rsid w:val="00CE7B50"/>
    <w:rsid w:val="00CF03DC"/>
    <w:rsid w:val="00CF0915"/>
    <w:rsid w:val="00CF0F03"/>
    <w:rsid w:val="00CF1251"/>
    <w:rsid w:val="00CF14DF"/>
    <w:rsid w:val="00CF1735"/>
    <w:rsid w:val="00CF19DE"/>
    <w:rsid w:val="00CF1B33"/>
    <w:rsid w:val="00CF1F3E"/>
    <w:rsid w:val="00CF2D79"/>
    <w:rsid w:val="00CF2DC1"/>
    <w:rsid w:val="00CF2E09"/>
    <w:rsid w:val="00CF31C1"/>
    <w:rsid w:val="00CF335C"/>
    <w:rsid w:val="00CF38F9"/>
    <w:rsid w:val="00CF42B8"/>
    <w:rsid w:val="00CF4B04"/>
    <w:rsid w:val="00CF4CED"/>
    <w:rsid w:val="00CF4E7B"/>
    <w:rsid w:val="00CF4F2E"/>
    <w:rsid w:val="00CF508A"/>
    <w:rsid w:val="00CF52C7"/>
    <w:rsid w:val="00CF63AB"/>
    <w:rsid w:val="00CF6756"/>
    <w:rsid w:val="00CF7618"/>
    <w:rsid w:val="00CF7655"/>
    <w:rsid w:val="00D00027"/>
    <w:rsid w:val="00D002A3"/>
    <w:rsid w:val="00D00D86"/>
    <w:rsid w:val="00D01C1B"/>
    <w:rsid w:val="00D02C7F"/>
    <w:rsid w:val="00D02F55"/>
    <w:rsid w:val="00D0305F"/>
    <w:rsid w:val="00D04155"/>
    <w:rsid w:val="00D04B76"/>
    <w:rsid w:val="00D04D5E"/>
    <w:rsid w:val="00D05A82"/>
    <w:rsid w:val="00D069C9"/>
    <w:rsid w:val="00D06C78"/>
    <w:rsid w:val="00D06F47"/>
    <w:rsid w:val="00D07D71"/>
    <w:rsid w:val="00D10362"/>
    <w:rsid w:val="00D1043D"/>
    <w:rsid w:val="00D108E8"/>
    <w:rsid w:val="00D10DA0"/>
    <w:rsid w:val="00D1155C"/>
    <w:rsid w:val="00D11594"/>
    <w:rsid w:val="00D11AFB"/>
    <w:rsid w:val="00D127D8"/>
    <w:rsid w:val="00D12F3D"/>
    <w:rsid w:val="00D132DF"/>
    <w:rsid w:val="00D1341F"/>
    <w:rsid w:val="00D13C17"/>
    <w:rsid w:val="00D13DF4"/>
    <w:rsid w:val="00D140C6"/>
    <w:rsid w:val="00D141BC"/>
    <w:rsid w:val="00D14538"/>
    <w:rsid w:val="00D14D42"/>
    <w:rsid w:val="00D14DA5"/>
    <w:rsid w:val="00D150B1"/>
    <w:rsid w:val="00D158D5"/>
    <w:rsid w:val="00D1595F"/>
    <w:rsid w:val="00D174A8"/>
    <w:rsid w:val="00D1794F"/>
    <w:rsid w:val="00D17F4E"/>
    <w:rsid w:val="00D20B8E"/>
    <w:rsid w:val="00D20C73"/>
    <w:rsid w:val="00D20CCE"/>
    <w:rsid w:val="00D20E16"/>
    <w:rsid w:val="00D214D3"/>
    <w:rsid w:val="00D21D6E"/>
    <w:rsid w:val="00D221EE"/>
    <w:rsid w:val="00D23AAF"/>
    <w:rsid w:val="00D23EFF"/>
    <w:rsid w:val="00D2413E"/>
    <w:rsid w:val="00D24568"/>
    <w:rsid w:val="00D24B71"/>
    <w:rsid w:val="00D25907"/>
    <w:rsid w:val="00D264E9"/>
    <w:rsid w:val="00D26A13"/>
    <w:rsid w:val="00D275EF"/>
    <w:rsid w:val="00D27888"/>
    <w:rsid w:val="00D278B1"/>
    <w:rsid w:val="00D27FA9"/>
    <w:rsid w:val="00D30428"/>
    <w:rsid w:val="00D305BC"/>
    <w:rsid w:val="00D30888"/>
    <w:rsid w:val="00D30AF0"/>
    <w:rsid w:val="00D30CAC"/>
    <w:rsid w:val="00D30ED3"/>
    <w:rsid w:val="00D310E0"/>
    <w:rsid w:val="00D31818"/>
    <w:rsid w:val="00D31CA7"/>
    <w:rsid w:val="00D32585"/>
    <w:rsid w:val="00D328B3"/>
    <w:rsid w:val="00D3293D"/>
    <w:rsid w:val="00D32D5F"/>
    <w:rsid w:val="00D32D9A"/>
    <w:rsid w:val="00D341A0"/>
    <w:rsid w:val="00D34A46"/>
    <w:rsid w:val="00D34B50"/>
    <w:rsid w:val="00D34CCB"/>
    <w:rsid w:val="00D34DB4"/>
    <w:rsid w:val="00D35326"/>
    <w:rsid w:val="00D3558A"/>
    <w:rsid w:val="00D35B63"/>
    <w:rsid w:val="00D35C27"/>
    <w:rsid w:val="00D35EC4"/>
    <w:rsid w:val="00D36373"/>
    <w:rsid w:val="00D36A50"/>
    <w:rsid w:val="00D371B2"/>
    <w:rsid w:val="00D37801"/>
    <w:rsid w:val="00D400CA"/>
    <w:rsid w:val="00D4028C"/>
    <w:rsid w:val="00D40383"/>
    <w:rsid w:val="00D40789"/>
    <w:rsid w:val="00D40CC0"/>
    <w:rsid w:val="00D4121D"/>
    <w:rsid w:val="00D414E6"/>
    <w:rsid w:val="00D41526"/>
    <w:rsid w:val="00D416AB"/>
    <w:rsid w:val="00D41BF8"/>
    <w:rsid w:val="00D42045"/>
    <w:rsid w:val="00D42381"/>
    <w:rsid w:val="00D42B11"/>
    <w:rsid w:val="00D42FCF"/>
    <w:rsid w:val="00D43081"/>
    <w:rsid w:val="00D4345D"/>
    <w:rsid w:val="00D435C2"/>
    <w:rsid w:val="00D435EC"/>
    <w:rsid w:val="00D43BF2"/>
    <w:rsid w:val="00D43DA9"/>
    <w:rsid w:val="00D448EC"/>
    <w:rsid w:val="00D44B4E"/>
    <w:rsid w:val="00D44FCC"/>
    <w:rsid w:val="00D45B67"/>
    <w:rsid w:val="00D45D37"/>
    <w:rsid w:val="00D4660B"/>
    <w:rsid w:val="00D46E88"/>
    <w:rsid w:val="00D47104"/>
    <w:rsid w:val="00D47581"/>
    <w:rsid w:val="00D47820"/>
    <w:rsid w:val="00D47D34"/>
    <w:rsid w:val="00D50615"/>
    <w:rsid w:val="00D508EC"/>
    <w:rsid w:val="00D50B32"/>
    <w:rsid w:val="00D50C09"/>
    <w:rsid w:val="00D5103F"/>
    <w:rsid w:val="00D5152D"/>
    <w:rsid w:val="00D516DB"/>
    <w:rsid w:val="00D51998"/>
    <w:rsid w:val="00D53053"/>
    <w:rsid w:val="00D530DA"/>
    <w:rsid w:val="00D53189"/>
    <w:rsid w:val="00D532A0"/>
    <w:rsid w:val="00D536B6"/>
    <w:rsid w:val="00D53D12"/>
    <w:rsid w:val="00D54020"/>
    <w:rsid w:val="00D545AB"/>
    <w:rsid w:val="00D5470A"/>
    <w:rsid w:val="00D5515E"/>
    <w:rsid w:val="00D55F89"/>
    <w:rsid w:val="00D5637E"/>
    <w:rsid w:val="00D56570"/>
    <w:rsid w:val="00D568BB"/>
    <w:rsid w:val="00D56C39"/>
    <w:rsid w:val="00D56D5D"/>
    <w:rsid w:val="00D5727F"/>
    <w:rsid w:val="00D5729A"/>
    <w:rsid w:val="00D57BD1"/>
    <w:rsid w:val="00D60168"/>
    <w:rsid w:val="00D60358"/>
    <w:rsid w:val="00D605ED"/>
    <w:rsid w:val="00D609F3"/>
    <w:rsid w:val="00D61046"/>
    <w:rsid w:val="00D615E0"/>
    <w:rsid w:val="00D61676"/>
    <w:rsid w:val="00D62286"/>
    <w:rsid w:val="00D62782"/>
    <w:rsid w:val="00D62903"/>
    <w:rsid w:val="00D62B0F"/>
    <w:rsid w:val="00D62C06"/>
    <w:rsid w:val="00D633CC"/>
    <w:rsid w:val="00D63B87"/>
    <w:rsid w:val="00D63DBD"/>
    <w:rsid w:val="00D6406B"/>
    <w:rsid w:val="00D640ED"/>
    <w:rsid w:val="00D6431E"/>
    <w:rsid w:val="00D6456E"/>
    <w:rsid w:val="00D64BAD"/>
    <w:rsid w:val="00D64EE8"/>
    <w:rsid w:val="00D655C0"/>
    <w:rsid w:val="00D657D6"/>
    <w:rsid w:val="00D65E4C"/>
    <w:rsid w:val="00D66832"/>
    <w:rsid w:val="00D66A7D"/>
    <w:rsid w:val="00D66ED3"/>
    <w:rsid w:val="00D66EF2"/>
    <w:rsid w:val="00D6755B"/>
    <w:rsid w:val="00D701CD"/>
    <w:rsid w:val="00D71000"/>
    <w:rsid w:val="00D71005"/>
    <w:rsid w:val="00D71148"/>
    <w:rsid w:val="00D71C0E"/>
    <w:rsid w:val="00D73776"/>
    <w:rsid w:val="00D73892"/>
    <w:rsid w:val="00D73B16"/>
    <w:rsid w:val="00D7406F"/>
    <w:rsid w:val="00D740B5"/>
    <w:rsid w:val="00D74165"/>
    <w:rsid w:val="00D7432A"/>
    <w:rsid w:val="00D7441C"/>
    <w:rsid w:val="00D746AC"/>
    <w:rsid w:val="00D755FF"/>
    <w:rsid w:val="00D756BC"/>
    <w:rsid w:val="00D762DA"/>
    <w:rsid w:val="00D764F1"/>
    <w:rsid w:val="00D77024"/>
    <w:rsid w:val="00D80055"/>
    <w:rsid w:val="00D800C6"/>
    <w:rsid w:val="00D8053C"/>
    <w:rsid w:val="00D80B7A"/>
    <w:rsid w:val="00D80CBD"/>
    <w:rsid w:val="00D813C5"/>
    <w:rsid w:val="00D818E9"/>
    <w:rsid w:val="00D81F78"/>
    <w:rsid w:val="00D821A6"/>
    <w:rsid w:val="00D82322"/>
    <w:rsid w:val="00D82A11"/>
    <w:rsid w:val="00D83E21"/>
    <w:rsid w:val="00D844E5"/>
    <w:rsid w:val="00D84F9A"/>
    <w:rsid w:val="00D85F88"/>
    <w:rsid w:val="00D86038"/>
    <w:rsid w:val="00D865D0"/>
    <w:rsid w:val="00D8700E"/>
    <w:rsid w:val="00D870D1"/>
    <w:rsid w:val="00D87DCC"/>
    <w:rsid w:val="00D907E9"/>
    <w:rsid w:val="00D9119E"/>
    <w:rsid w:val="00D91931"/>
    <w:rsid w:val="00D9230B"/>
    <w:rsid w:val="00D9294F"/>
    <w:rsid w:val="00D92BB8"/>
    <w:rsid w:val="00D944B6"/>
    <w:rsid w:val="00D94739"/>
    <w:rsid w:val="00D94CF0"/>
    <w:rsid w:val="00D957C4"/>
    <w:rsid w:val="00D95EE7"/>
    <w:rsid w:val="00D96474"/>
    <w:rsid w:val="00D96818"/>
    <w:rsid w:val="00D96AA6"/>
    <w:rsid w:val="00D96EDA"/>
    <w:rsid w:val="00D97411"/>
    <w:rsid w:val="00D978CE"/>
    <w:rsid w:val="00D97AA2"/>
    <w:rsid w:val="00DA0227"/>
    <w:rsid w:val="00DA0A9C"/>
    <w:rsid w:val="00DA0BBB"/>
    <w:rsid w:val="00DA0E70"/>
    <w:rsid w:val="00DA10FE"/>
    <w:rsid w:val="00DA20DA"/>
    <w:rsid w:val="00DA27F1"/>
    <w:rsid w:val="00DA27FB"/>
    <w:rsid w:val="00DA2A4C"/>
    <w:rsid w:val="00DA2E25"/>
    <w:rsid w:val="00DA37AC"/>
    <w:rsid w:val="00DA484A"/>
    <w:rsid w:val="00DA4C61"/>
    <w:rsid w:val="00DA4EA0"/>
    <w:rsid w:val="00DA52E1"/>
    <w:rsid w:val="00DA5A4E"/>
    <w:rsid w:val="00DA5CEA"/>
    <w:rsid w:val="00DA5EF3"/>
    <w:rsid w:val="00DA5F28"/>
    <w:rsid w:val="00DA5FC3"/>
    <w:rsid w:val="00DA5FDC"/>
    <w:rsid w:val="00DA6AAF"/>
    <w:rsid w:val="00DA6BAD"/>
    <w:rsid w:val="00DA6C9B"/>
    <w:rsid w:val="00DA72F1"/>
    <w:rsid w:val="00DA73BB"/>
    <w:rsid w:val="00DA7491"/>
    <w:rsid w:val="00DA7849"/>
    <w:rsid w:val="00DA7ECB"/>
    <w:rsid w:val="00DB03C6"/>
    <w:rsid w:val="00DB0B8D"/>
    <w:rsid w:val="00DB135D"/>
    <w:rsid w:val="00DB153C"/>
    <w:rsid w:val="00DB15CA"/>
    <w:rsid w:val="00DB17CC"/>
    <w:rsid w:val="00DB2106"/>
    <w:rsid w:val="00DB218A"/>
    <w:rsid w:val="00DB28A7"/>
    <w:rsid w:val="00DB2B2F"/>
    <w:rsid w:val="00DB2EA1"/>
    <w:rsid w:val="00DB3122"/>
    <w:rsid w:val="00DB3461"/>
    <w:rsid w:val="00DB3FEF"/>
    <w:rsid w:val="00DB4649"/>
    <w:rsid w:val="00DB4B18"/>
    <w:rsid w:val="00DB4B2A"/>
    <w:rsid w:val="00DB56A2"/>
    <w:rsid w:val="00DB580D"/>
    <w:rsid w:val="00DB676C"/>
    <w:rsid w:val="00DB6895"/>
    <w:rsid w:val="00DB6F46"/>
    <w:rsid w:val="00DB7CC1"/>
    <w:rsid w:val="00DC0AFE"/>
    <w:rsid w:val="00DC0D92"/>
    <w:rsid w:val="00DC1172"/>
    <w:rsid w:val="00DC1786"/>
    <w:rsid w:val="00DC1B9C"/>
    <w:rsid w:val="00DC237C"/>
    <w:rsid w:val="00DC284F"/>
    <w:rsid w:val="00DC2BC0"/>
    <w:rsid w:val="00DC38C6"/>
    <w:rsid w:val="00DC3D23"/>
    <w:rsid w:val="00DC4F1E"/>
    <w:rsid w:val="00DC539B"/>
    <w:rsid w:val="00DC547A"/>
    <w:rsid w:val="00DC58E9"/>
    <w:rsid w:val="00DC5B26"/>
    <w:rsid w:val="00DC62EA"/>
    <w:rsid w:val="00DC6945"/>
    <w:rsid w:val="00DC6AB2"/>
    <w:rsid w:val="00DC6C2D"/>
    <w:rsid w:val="00DC6DCD"/>
    <w:rsid w:val="00DC740F"/>
    <w:rsid w:val="00DC760D"/>
    <w:rsid w:val="00DC7678"/>
    <w:rsid w:val="00DC7DC5"/>
    <w:rsid w:val="00DC7E8A"/>
    <w:rsid w:val="00DD0167"/>
    <w:rsid w:val="00DD0E94"/>
    <w:rsid w:val="00DD122C"/>
    <w:rsid w:val="00DD1905"/>
    <w:rsid w:val="00DD194E"/>
    <w:rsid w:val="00DD1C86"/>
    <w:rsid w:val="00DD1C93"/>
    <w:rsid w:val="00DD1E0F"/>
    <w:rsid w:val="00DD217C"/>
    <w:rsid w:val="00DD233B"/>
    <w:rsid w:val="00DD2F84"/>
    <w:rsid w:val="00DD3245"/>
    <w:rsid w:val="00DD41ED"/>
    <w:rsid w:val="00DD483A"/>
    <w:rsid w:val="00DD4C71"/>
    <w:rsid w:val="00DD4EF9"/>
    <w:rsid w:val="00DD58ED"/>
    <w:rsid w:val="00DD58F5"/>
    <w:rsid w:val="00DD5A10"/>
    <w:rsid w:val="00DD6386"/>
    <w:rsid w:val="00DD63D5"/>
    <w:rsid w:val="00DD7A63"/>
    <w:rsid w:val="00DE0049"/>
    <w:rsid w:val="00DE01CF"/>
    <w:rsid w:val="00DE033B"/>
    <w:rsid w:val="00DE0BA0"/>
    <w:rsid w:val="00DE169D"/>
    <w:rsid w:val="00DE198C"/>
    <w:rsid w:val="00DE1D7F"/>
    <w:rsid w:val="00DE1EA3"/>
    <w:rsid w:val="00DE2227"/>
    <w:rsid w:val="00DE22D9"/>
    <w:rsid w:val="00DE2377"/>
    <w:rsid w:val="00DE23C1"/>
    <w:rsid w:val="00DE265E"/>
    <w:rsid w:val="00DE26EC"/>
    <w:rsid w:val="00DE2EDA"/>
    <w:rsid w:val="00DE342B"/>
    <w:rsid w:val="00DE3942"/>
    <w:rsid w:val="00DE39E4"/>
    <w:rsid w:val="00DE39F0"/>
    <w:rsid w:val="00DE3CEE"/>
    <w:rsid w:val="00DE4A05"/>
    <w:rsid w:val="00DE4D02"/>
    <w:rsid w:val="00DE4F03"/>
    <w:rsid w:val="00DE4FA9"/>
    <w:rsid w:val="00DE684F"/>
    <w:rsid w:val="00DE6F16"/>
    <w:rsid w:val="00DE6F5F"/>
    <w:rsid w:val="00DE7961"/>
    <w:rsid w:val="00DF25CB"/>
    <w:rsid w:val="00DF26D9"/>
    <w:rsid w:val="00DF2AB6"/>
    <w:rsid w:val="00DF2BF4"/>
    <w:rsid w:val="00DF31FA"/>
    <w:rsid w:val="00DF3C95"/>
    <w:rsid w:val="00DF3F07"/>
    <w:rsid w:val="00DF3FE8"/>
    <w:rsid w:val="00DF4840"/>
    <w:rsid w:val="00DF4DCA"/>
    <w:rsid w:val="00DF53FE"/>
    <w:rsid w:val="00DF55B6"/>
    <w:rsid w:val="00DF5BC0"/>
    <w:rsid w:val="00DF636B"/>
    <w:rsid w:val="00DF6778"/>
    <w:rsid w:val="00DF6862"/>
    <w:rsid w:val="00DF6CB1"/>
    <w:rsid w:val="00DF7A37"/>
    <w:rsid w:val="00DF7F92"/>
    <w:rsid w:val="00E003A7"/>
    <w:rsid w:val="00E004F7"/>
    <w:rsid w:val="00E00654"/>
    <w:rsid w:val="00E0073B"/>
    <w:rsid w:val="00E00DD2"/>
    <w:rsid w:val="00E01038"/>
    <w:rsid w:val="00E010D6"/>
    <w:rsid w:val="00E02715"/>
    <w:rsid w:val="00E02A26"/>
    <w:rsid w:val="00E0316C"/>
    <w:rsid w:val="00E031C8"/>
    <w:rsid w:val="00E03226"/>
    <w:rsid w:val="00E048E2"/>
    <w:rsid w:val="00E04BD8"/>
    <w:rsid w:val="00E054D8"/>
    <w:rsid w:val="00E05529"/>
    <w:rsid w:val="00E057C1"/>
    <w:rsid w:val="00E05FB4"/>
    <w:rsid w:val="00E06D91"/>
    <w:rsid w:val="00E0778E"/>
    <w:rsid w:val="00E07EE3"/>
    <w:rsid w:val="00E07F9C"/>
    <w:rsid w:val="00E108B0"/>
    <w:rsid w:val="00E11418"/>
    <w:rsid w:val="00E11A65"/>
    <w:rsid w:val="00E11E54"/>
    <w:rsid w:val="00E12080"/>
    <w:rsid w:val="00E12882"/>
    <w:rsid w:val="00E12B6B"/>
    <w:rsid w:val="00E12BC0"/>
    <w:rsid w:val="00E13A61"/>
    <w:rsid w:val="00E13C95"/>
    <w:rsid w:val="00E13EB2"/>
    <w:rsid w:val="00E15136"/>
    <w:rsid w:val="00E15310"/>
    <w:rsid w:val="00E156F0"/>
    <w:rsid w:val="00E158A3"/>
    <w:rsid w:val="00E162DD"/>
    <w:rsid w:val="00E16312"/>
    <w:rsid w:val="00E16451"/>
    <w:rsid w:val="00E16759"/>
    <w:rsid w:val="00E179E0"/>
    <w:rsid w:val="00E201F9"/>
    <w:rsid w:val="00E2150C"/>
    <w:rsid w:val="00E219AA"/>
    <w:rsid w:val="00E224EF"/>
    <w:rsid w:val="00E225AD"/>
    <w:rsid w:val="00E228A4"/>
    <w:rsid w:val="00E22ED6"/>
    <w:rsid w:val="00E232A2"/>
    <w:rsid w:val="00E239D0"/>
    <w:rsid w:val="00E23A28"/>
    <w:rsid w:val="00E24325"/>
    <w:rsid w:val="00E2444C"/>
    <w:rsid w:val="00E244D1"/>
    <w:rsid w:val="00E2461B"/>
    <w:rsid w:val="00E24B5D"/>
    <w:rsid w:val="00E24DEE"/>
    <w:rsid w:val="00E250A1"/>
    <w:rsid w:val="00E25558"/>
    <w:rsid w:val="00E255C7"/>
    <w:rsid w:val="00E25CA6"/>
    <w:rsid w:val="00E265AC"/>
    <w:rsid w:val="00E26602"/>
    <w:rsid w:val="00E26AA1"/>
    <w:rsid w:val="00E270D8"/>
    <w:rsid w:val="00E27609"/>
    <w:rsid w:val="00E30F38"/>
    <w:rsid w:val="00E3105C"/>
    <w:rsid w:val="00E31852"/>
    <w:rsid w:val="00E31C73"/>
    <w:rsid w:val="00E31CBD"/>
    <w:rsid w:val="00E31F10"/>
    <w:rsid w:val="00E320C4"/>
    <w:rsid w:val="00E32159"/>
    <w:rsid w:val="00E327CB"/>
    <w:rsid w:val="00E32A90"/>
    <w:rsid w:val="00E32C2C"/>
    <w:rsid w:val="00E32C6C"/>
    <w:rsid w:val="00E32FFF"/>
    <w:rsid w:val="00E332AB"/>
    <w:rsid w:val="00E35A90"/>
    <w:rsid w:val="00E35FCD"/>
    <w:rsid w:val="00E36481"/>
    <w:rsid w:val="00E36558"/>
    <w:rsid w:val="00E369BA"/>
    <w:rsid w:val="00E36DC7"/>
    <w:rsid w:val="00E3733D"/>
    <w:rsid w:val="00E379B4"/>
    <w:rsid w:val="00E37C21"/>
    <w:rsid w:val="00E401AC"/>
    <w:rsid w:val="00E401E9"/>
    <w:rsid w:val="00E40369"/>
    <w:rsid w:val="00E40545"/>
    <w:rsid w:val="00E4064E"/>
    <w:rsid w:val="00E427B8"/>
    <w:rsid w:val="00E428AB"/>
    <w:rsid w:val="00E428E0"/>
    <w:rsid w:val="00E43652"/>
    <w:rsid w:val="00E43AD5"/>
    <w:rsid w:val="00E44075"/>
    <w:rsid w:val="00E44C7A"/>
    <w:rsid w:val="00E44C99"/>
    <w:rsid w:val="00E44C9D"/>
    <w:rsid w:val="00E44D64"/>
    <w:rsid w:val="00E44ED1"/>
    <w:rsid w:val="00E44FE2"/>
    <w:rsid w:val="00E452DF"/>
    <w:rsid w:val="00E45DCC"/>
    <w:rsid w:val="00E4650F"/>
    <w:rsid w:val="00E46926"/>
    <w:rsid w:val="00E46C32"/>
    <w:rsid w:val="00E474A1"/>
    <w:rsid w:val="00E47505"/>
    <w:rsid w:val="00E47D3F"/>
    <w:rsid w:val="00E50074"/>
    <w:rsid w:val="00E501E8"/>
    <w:rsid w:val="00E50311"/>
    <w:rsid w:val="00E50439"/>
    <w:rsid w:val="00E518B5"/>
    <w:rsid w:val="00E52711"/>
    <w:rsid w:val="00E52F9D"/>
    <w:rsid w:val="00E534AF"/>
    <w:rsid w:val="00E53601"/>
    <w:rsid w:val="00E536DE"/>
    <w:rsid w:val="00E53D4C"/>
    <w:rsid w:val="00E540FB"/>
    <w:rsid w:val="00E54335"/>
    <w:rsid w:val="00E546BE"/>
    <w:rsid w:val="00E546D4"/>
    <w:rsid w:val="00E54A55"/>
    <w:rsid w:val="00E54D4D"/>
    <w:rsid w:val="00E54EBC"/>
    <w:rsid w:val="00E54EC8"/>
    <w:rsid w:val="00E555E8"/>
    <w:rsid w:val="00E55DA6"/>
    <w:rsid w:val="00E56042"/>
    <w:rsid w:val="00E568C8"/>
    <w:rsid w:val="00E56B69"/>
    <w:rsid w:val="00E56CE1"/>
    <w:rsid w:val="00E56E4D"/>
    <w:rsid w:val="00E60258"/>
    <w:rsid w:val="00E6034B"/>
    <w:rsid w:val="00E60754"/>
    <w:rsid w:val="00E61070"/>
    <w:rsid w:val="00E6126A"/>
    <w:rsid w:val="00E61920"/>
    <w:rsid w:val="00E61F58"/>
    <w:rsid w:val="00E62D8B"/>
    <w:rsid w:val="00E631BE"/>
    <w:rsid w:val="00E63232"/>
    <w:rsid w:val="00E6359F"/>
    <w:rsid w:val="00E638C6"/>
    <w:rsid w:val="00E63A90"/>
    <w:rsid w:val="00E644F3"/>
    <w:rsid w:val="00E644F5"/>
    <w:rsid w:val="00E647F1"/>
    <w:rsid w:val="00E6493F"/>
    <w:rsid w:val="00E649CB"/>
    <w:rsid w:val="00E64A8C"/>
    <w:rsid w:val="00E65141"/>
    <w:rsid w:val="00E65BC3"/>
    <w:rsid w:val="00E66150"/>
    <w:rsid w:val="00E6666F"/>
    <w:rsid w:val="00E6688C"/>
    <w:rsid w:val="00E66BC8"/>
    <w:rsid w:val="00E66D7B"/>
    <w:rsid w:val="00E66E95"/>
    <w:rsid w:val="00E67D52"/>
    <w:rsid w:val="00E71247"/>
    <w:rsid w:val="00E71CCA"/>
    <w:rsid w:val="00E7211B"/>
    <w:rsid w:val="00E726D1"/>
    <w:rsid w:val="00E72750"/>
    <w:rsid w:val="00E72918"/>
    <w:rsid w:val="00E72949"/>
    <w:rsid w:val="00E73708"/>
    <w:rsid w:val="00E73DDF"/>
    <w:rsid w:val="00E7400F"/>
    <w:rsid w:val="00E74835"/>
    <w:rsid w:val="00E74DE8"/>
    <w:rsid w:val="00E75328"/>
    <w:rsid w:val="00E753E3"/>
    <w:rsid w:val="00E758DE"/>
    <w:rsid w:val="00E75DCC"/>
    <w:rsid w:val="00E76915"/>
    <w:rsid w:val="00E76C05"/>
    <w:rsid w:val="00E76CE2"/>
    <w:rsid w:val="00E76D14"/>
    <w:rsid w:val="00E7714F"/>
    <w:rsid w:val="00E771E9"/>
    <w:rsid w:val="00E779AE"/>
    <w:rsid w:val="00E8024C"/>
    <w:rsid w:val="00E8042C"/>
    <w:rsid w:val="00E8044B"/>
    <w:rsid w:val="00E80666"/>
    <w:rsid w:val="00E80F5A"/>
    <w:rsid w:val="00E80FB8"/>
    <w:rsid w:val="00E81CEC"/>
    <w:rsid w:val="00E81FF6"/>
    <w:rsid w:val="00E82B45"/>
    <w:rsid w:val="00E82E2A"/>
    <w:rsid w:val="00E836D4"/>
    <w:rsid w:val="00E83801"/>
    <w:rsid w:val="00E84257"/>
    <w:rsid w:val="00E8442C"/>
    <w:rsid w:val="00E848D1"/>
    <w:rsid w:val="00E84AC5"/>
    <w:rsid w:val="00E856EB"/>
    <w:rsid w:val="00E85786"/>
    <w:rsid w:val="00E858F0"/>
    <w:rsid w:val="00E85EAB"/>
    <w:rsid w:val="00E860AB"/>
    <w:rsid w:val="00E8628A"/>
    <w:rsid w:val="00E86B0F"/>
    <w:rsid w:val="00E86D5B"/>
    <w:rsid w:val="00E875DC"/>
    <w:rsid w:val="00E908E1"/>
    <w:rsid w:val="00E90E6B"/>
    <w:rsid w:val="00E910EA"/>
    <w:rsid w:val="00E91732"/>
    <w:rsid w:val="00E924AB"/>
    <w:rsid w:val="00E92B04"/>
    <w:rsid w:val="00E92BBF"/>
    <w:rsid w:val="00E930C2"/>
    <w:rsid w:val="00E93A60"/>
    <w:rsid w:val="00E93C4A"/>
    <w:rsid w:val="00E9543D"/>
    <w:rsid w:val="00E9564F"/>
    <w:rsid w:val="00E95793"/>
    <w:rsid w:val="00E960F9"/>
    <w:rsid w:val="00E96482"/>
    <w:rsid w:val="00E964AD"/>
    <w:rsid w:val="00EA036C"/>
    <w:rsid w:val="00EA0885"/>
    <w:rsid w:val="00EA0A64"/>
    <w:rsid w:val="00EA0A8A"/>
    <w:rsid w:val="00EA0B85"/>
    <w:rsid w:val="00EA116A"/>
    <w:rsid w:val="00EA116C"/>
    <w:rsid w:val="00EA1395"/>
    <w:rsid w:val="00EA1435"/>
    <w:rsid w:val="00EA1737"/>
    <w:rsid w:val="00EA1B2B"/>
    <w:rsid w:val="00EA1BE1"/>
    <w:rsid w:val="00EA1C4C"/>
    <w:rsid w:val="00EA276C"/>
    <w:rsid w:val="00EA289D"/>
    <w:rsid w:val="00EA3708"/>
    <w:rsid w:val="00EA3B6D"/>
    <w:rsid w:val="00EA3B90"/>
    <w:rsid w:val="00EA3C52"/>
    <w:rsid w:val="00EA3D28"/>
    <w:rsid w:val="00EA3F42"/>
    <w:rsid w:val="00EA41AE"/>
    <w:rsid w:val="00EA4806"/>
    <w:rsid w:val="00EA4E81"/>
    <w:rsid w:val="00EA5515"/>
    <w:rsid w:val="00EA5839"/>
    <w:rsid w:val="00EA586F"/>
    <w:rsid w:val="00EA5E03"/>
    <w:rsid w:val="00EA6765"/>
    <w:rsid w:val="00EA67D5"/>
    <w:rsid w:val="00EA683C"/>
    <w:rsid w:val="00EA696C"/>
    <w:rsid w:val="00EA6B70"/>
    <w:rsid w:val="00EA6ED9"/>
    <w:rsid w:val="00EA7738"/>
    <w:rsid w:val="00EB07B6"/>
    <w:rsid w:val="00EB1300"/>
    <w:rsid w:val="00EB1574"/>
    <w:rsid w:val="00EB1906"/>
    <w:rsid w:val="00EB1926"/>
    <w:rsid w:val="00EB1BE8"/>
    <w:rsid w:val="00EB1C99"/>
    <w:rsid w:val="00EB2288"/>
    <w:rsid w:val="00EB2356"/>
    <w:rsid w:val="00EB24CF"/>
    <w:rsid w:val="00EB2990"/>
    <w:rsid w:val="00EB2A65"/>
    <w:rsid w:val="00EB2C43"/>
    <w:rsid w:val="00EB41D2"/>
    <w:rsid w:val="00EB5658"/>
    <w:rsid w:val="00EB5FB7"/>
    <w:rsid w:val="00EB62DF"/>
    <w:rsid w:val="00EB68FB"/>
    <w:rsid w:val="00EB6CD0"/>
    <w:rsid w:val="00EB71CB"/>
    <w:rsid w:val="00EB7281"/>
    <w:rsid w:val="00EC0279"/>
    <w:rsid w:val="00EC0597"/>
    <w:rsid w:val="00EC0ACE"/>
    <w:rsid w:val="00EC0B82"/>
    <w:rsid w:val="00EC11DE"/>
    <w:rsid w:val="00EC1344"/>
    <w:rsid w:val="00EC1484"/>
    <w:rsid w:val="00EC157B"/>
    <w:rsid w:val="00EC17C0"/>
    <w:rsid w:val="00EC197C"/>
    <w:rsid w:val="00EC22F9"/>
    <w:rsid w:val="00EC24C1"/>
    <w:rsid w:val="00EC2D86"/>
    <w:rsid w:val="00EC3FE2"/>
    <w:rsid w:val="00EC429F"/>
    <w:rsid w:val="00EC4D5F"/>
    <w:rsid w:val="00EC5B6E"/>
    <w:rsid w:val="00EC71A5"/>
    <w:rsid w:val="00ED0A1D"/>
    <w:rsid w:val="00ED0AF0"/>
    <w:rsid w:val="00ED0FC9"/>
    <w:rsid w:val="00ED135C"/>
    <w:rsid w:val="00ED1755"/>
    <w:rsid w:val="00ED1845"/>
    <w:rsid w:val="00ED1AEA"/>
    <w:rsid w:val="00ED1E37"/>
    <w:rsid w:val="00ED2157"/>
    <w:rsid w:val="00ED295B"/>
    <w:rsid w:val="00ED2CB9"/>
    <w:rsid w:val="00ED331C"/>
    <w:rsid w:val="00ED3CD3"/>
    <w:rsid w:val="00ED3EA4"/>
    <w:rsid w:val="00ED4481"/>
    <w:rsid w:val="00ED46D2"/>
    <w:rsid w:val="00ED54C3"/>
    <w:rsid w:val="00ED5E25"/>
    <w:rsid w:val="00ED623B"/>
    <w:rsid w:val="00ED6A05"/>
    <w:rsid w:val="00ED6CDF"/>
    <w:rsid w:val="00ED7473"/>
    <w:rsid w:val="00ED765D"/>
    <w:rsid w:val="00EE00C8"/>
    <w:rsid w:val="00EE04C8"/>
    <w:rsid w:val="00EE0F6D"/>
    <w:rsid w:val="00EE17D0"/>
    <w:rsid w:val="00EE1823"/>
    <w:rsid w:val="00EE194F"/>
    <w:rsid w:val="00EE20DF"/>
    <w:rsid w:val="00EE22D8"/>
    <w:rsid w:val="00EE25CA"/>
    <w:rsid w:val="00EE28F0"/>
    <w:rsid w:val="00EE2B0F"/>
    <w:rsid w:val="00EE2EA6"/>
    <w:rsid w:val="00EE36E3"/>
    <w:rsid w:val="00EE3754"/>
    <w:rsid w:val="00EE3CD1"/>
    <w:rsid w:val="00EE40A6"/>
    <w:rsid w:val="00EE42DD"/>
    <w:rsid w:val="00EE45B7"/>
    <w:rsid w:val="00EE46F1"/>
    <w:rsid w:val="00EE4A0F"/>
    <w:rsid w:val="00EE50DD"/>
    <w:rsid w:val="00EE50EA"/>
    <w:rsid w:val="00EE5A17"/>
    <w:rsid w:val="00EE5EB6"/>
    <w:rsid w:val="00EE6499"/>
    <w:rsid w:val="00EF02AD"/>
    <w:rsid w:val="00EF0393"/>
    <w:rsid w:val="00EF0B50"/>
    <w:rsid w:val="00EF0C17"/>
    <w:rsid w:val="00EF1A5A"/>
    <w:rsid w:val="00EF1EB2"/>
    <w:rsid w:val="00EF228A"/>
    <w:rsid w:val="00EF36E9"/>
    <w:rsid w:val="00EF4F2D"/>
    <w:rsid w:val="00EF51DE"/>
    <w:rsid w:val="00EF5534"/>
    <w:rsid w:val="00EF55F4"/>
    <w:rsid w:val="00EF57E7"/>
    <w:rsid w:val="00EF5BEA"/>
    <w:rsid w:val="00F008B9"/>
    <w:rsid w:val="00F01C1A"/>
    <w:rsid w:val="00F01DA9"/>
    <w:rsid w:val="00F02A5D"/>
    <w:rsid w:val="00F02DB9"/>
    <w:rsid w:val="00F02E7A"/>
    <w:rsid w:val="00F0317B"/>
    <w:rsid w:val="00F04052"/>
    <w:rsid w:val="00F04081"/>
    <w:rsid w:val="00F047FA"/>
    <w:rsid w:val="00F04F29"/>
    <w:rsid w:val="00F0519D"/>
    <w:rsid w:val="00F051E7"/>
    <w:rsid w:val="00F053ED"/>
    <w:rsid w:val="00F0564B"/>
    <w:rsid w:val="00F05B63"/>
    <w:rsid w:val="00F05FF9"/>
    <w:rsid w:val="00F06148"/>
    <w:rsid w:val="00F06167"/>
    <w:rsid w:val="00F0670C"/>
    <w:rsid w:val="00F069C7"/>
    <w:rsid w:val="00F06D46"/>
    <w:rsid w:val="00F06E9B"/>
    <w:rsid w:val="00F0747B"/>
    <w:rsid w:val="00F075AF"/>
    <w:rsid w:val="00F07766"/>
    <w:rsid w:val="00F1000E"/>
    <w:rsid w:val="00F1033E"/>
    <w:rsid w:val="00F108B9"/>
    <w:rsid w:val="00F10929"/>
    <w:rsid w:val="00F1159B"/>
    <w:rsid w:val="00F12172"/>
    <w:rsid w:val="00F1278E"/>
    <w:rsid w:val="00F12AEF"/>
    <w:rsid w:val="00F13045"/>
    <w:rsid w:val="00F131F2"/>
    <w:rsid w:val="00F13D14"/>
    <w:rsid w:val="00F13E84"/>
    <w:rsid w:val="00F140DF"/>
    <w:rsid w:val="00F14546"/>
    <w:rsid w:val="00F145AF"/>
    <w:rsid w:val="00F148A0"/>
    <w:rsid w:val="00F14949"/>
    <w:rsid w:val="00F150B0"/>
    <w:rsid w:val="00F15571"/>
    <w:rsid w:val="00F15F00"/>
    <w:rsid w:val="00F17209"/>
    <w:rsid w:val="00F20209"/>
    <w:rsid w:val="00F20916"/>
    <w:rsid w:val="00F209E2"/>
    <w:rsid w:val="00F20FF1"/>
    <w:rsid w:val="00F21E67"/>
    <w:rsid w:val="00F21FA5"/>
    <w:rsid w:val="00F224A3"/>
    <w:rsid w:val="00F22613"/>
    <w:rsid w:val="00F22E59"/>
    <w:rsid w:val="00F231D4"/>
    <w:rsid w:val="00F234FD"/>
    <w:rsid w:val="00F23681"/>
    <w:rsid w:val="00F23C6D"/>
    <w:rsid w:val="00F25001"/>
    <w:rsid w:val="00F25104"/>
    <w:rsid w:val="00F256FB"/>
    <w:rsid w:val="00F25AC3"/>
    <w:rsid w:val="00F26CE9"/>
    <w:rsid w:val="00F27107"/>
    <w:rsid w:val="00F2730E"/>
    <w:rsid w:val="00F2733D"/>
    <w:rsid w:val="00F273E2"/>
    <w:rsid w:val="00F27AA6"/>
    <w:rsid w:val="00F27E48"/>
    <w:rsid w:val="00F311A8"/>
    <w:rsid w:val="00F31468"/>
    <w:rsid w:val="00F31785"/>
    <w:rsid w:val="00F317A6"/>
    <w:rsid w:val="00F31834"/>
    <w:rsid w:val="00F3234A"/>
    <w:rsid w:val="00F3276F"/>
    <w:rsid w:val="00F32CB4"/>
    <w:rsid w:val="00F330FE"/>
    <w:rsid w:val="00F335DC"/>
    <w:rsid w:val="00F33731"/>
    <w:rsid w:val="00F33AFF"/>
    <w:rsid w:val="00F33B32"/>
    <w:rsid w:val="00F33F21"/>
    <w:rsid w:val="00F34245"/>
    <w:rsid w:val="00F349BA"/>
    <w:rsid w:val="00F34BB8"/>
    <w:rsid w:val="00F34C75"/>
    <w:rsid w:val="00F352C3"/>
    <w:rsid w:val="00F359FE"/>
    <w:rsid w:val="00F35C14"/>
    <w:rsid w:val="00F35C4F"/>
    <w:rsid w:val="00F368DB"/>
    <w:rsid w:val="00F36DEC"/>
    <w:rsid w:val="00F3708C"/>
    <w:rsid w:val="00F37481"/>
    <w:rsid w:val="00F374C8"/>
    <w:rsid w:val="00F37771"/>
    <w:rsid w:val="00F37D38"/>
    <w:rsid w:val="00F4031C"/>
    <w:rsid w:val="00F410D0"/>
    <w:rsid w:val="00F411A5"/>
    <w:rsid w:val="00F41429"/>
    <w:rsid w:val="00F41AA2"/>
    <w:rsid w:val="00F41AAD"/>
    <w:rsid w:val="00F42308"/>
    <w:rsid w:val="00F423FD"/>
    <w:rsid w:val="00F4368F"/>
    <w:rsid w:val="00F43732"/>
    <w:rsid w:val="00F43960"/>
    <w:rsid w:val="00F43B08"/>
    <w:rsid w:val="00F4411F"/>
    <w:rsid w:val="00F442A7"/>
    <w:rsid w:val="00F44399"/>
    <w:rsid w:val="00F451AD"/>
    <w:rsid w:val="00F45751"/>
    <w:rsid w:val="00F460F1"/>
    <w:rsid w:val="00F466D8"/>
    <w:rsid w:val="00F46DC1"/>
    <w:rsid w:val="00F46FF9"/>
    <w:rsid w:val="00F47C22"/>
    <w:rsid w:val="00F50396"/>
    <w:rsid w:val="00F50E62"/>
    <w:rsid w:val="00F51433"/>
    <w:rsid w:val="00F51631"/>
    <w:rsid w:val="00F524E0"/>
    <w:rsid w:val="00F52AD0"/>
    <w:rsid w:val="00F533CE"/>
    <w:rsid w:val="00F535C4"/>
    <w:rsid w:val="00F53928"/>
    <w:rsid w:val="00F53BCB"/>
    <w:rsid w:val="00F54B56"/>
    <w:rsid w:val="00F54F9F"/>
    <w:rsid w:val="00F55A98"/>
    <w:rsid w:val="00F561D5"/>
    <w:rsid w:val="00F56A0A"/>
    <w:rsid w:val="00F56D63"/>
    <w:rsid w:val="00F576A4"/>
    <w:rsid w:val="00F57EE2"/>
    <w:rsid w:val="00F60771"/>
    <w:rsid w:val="00F60C9C"/>
    <w:rsid w:val="00F612A4"/>
    <w:rsid w:val="00F61782"/>
    <w:rsid w:val="00F618DE"/>
    <w:rsid w:val="00F61F02"/>
    <w:rsid w:val="00F622F7"/>
    <w:rsid w:val="00F62D33"/>
    <w:rsid w:val="00F62E19"/>
    <w:rsid w:val="00F63626"/>
    <w:rsid w:val="00F638A1"/>
    <w:rsid w:val="00F64280"/>
    <w:rsid w:val="00F6461E"/>
    <w:rsid w:val="00F64ECC"/>
    <w:rsid w:val="00F65327"/>
    <w:rsid w:val="00F653A6"/>
    <w:rsid w:val="00F662A5"/>
    <w:rsid w:val="00F6663E"/>
    <w:rsid w:val="00F66C18"/>
    <w:rsid w:val="00F66D4F"/>
    <w:rsid w:val="00F67308"/>
    <w:rsid w:val="00F674FD"/>
    <w:rsid w:val="00F67512"/>
    <w:rsid w:val="00F70709"/>
    <w:rsid w:val="00F70719"/>
    <w:rsid w:val="00F71623"/>
    <w:rsid w:val="00F7176C"/>
    <w:rsid w:val="00F717EB"/>
    <w:rsid w:val="00F71986"/>
    <w:rsid w:val="00F71CC2"/>
    <w:rsid w:val="00F720CC"/>
    <w:rsid w:val="00F72397"/>
    <w:rsid w:val="00F72538"/>
    <w:rsid w:val="00F72679"/>
    <w:rsid w:val="00F7270F"/>
    <w:rsid w:val="00F72805"/>
    <w:rsid w:val="00F72A48"/>
    <w:rsid w:val="00F72F8D"/>
    <w:rsid w:val="00F730ED"/>
    <w:rsid w:val="00F736F1"/>
    <w:rsid w:val="00F73A25"/>
    <w:rsid w:val="00F73AFF"/>
    <w:rsid w:val="00F73F05"/>
    <w:rsid w:val="00F740F0"/>
    <w:rsid w:val="00F743C2"/>
    <w:rsid w:val="00F74993"/>
    <w:rsid w:val="00F74BD3"/>
    <w:rsid w:val="00F764A5"/>
    <w:rsid w:val="00F766F9"/>
    <w:rsid w:val="00F76C16"/>
    <w:rsid w:val="00F76E61"/>
    <w:rsid w:val="00F76EDA"/>
    <w:rsid w:val="00F77C79"/>
    <w:rsid w:val="00F77F86"/>
    <w:rsid w:val="00F802FF"/>
    <w:rsid w:val="00F803A4"/>
    <w:rsid w:val="00F805A4"/>
    <w:rsid w:val="00F81B60"/>
    <w:rsid w:val="00F82AC0"/>
    <w:rsid w:val="00F82B4B"/>
    <w:rsid w:val="00F83728"/>
    <w:rsid w:val="00F838E5"/>
    <w:rsid w:val="00F841BB"/>
    <w:rsid w:val="00F84290"/>
    <w:rsid w:val="00F84CCF"/>
    <w:rsid w:val="00F84F62"/>
    <w:rsid w:val="00F85165"/>
    <w:rsid w:val="00F85594"/>
    <w:rsid w:val="00F858F1"/>
    <w:rsid w:val="00F85A92"/>
    <w:rsid w:val="00F85E18"/>
    <w:rsid w:val="00F86295"/>
    <w:rsid w:val="00F8670D"/>
    <w:rsid w:val="00F86C1F"/>
    <w:rsid w:val="00F87167"/>
    <w:rsid w:val="00F87E41"/>
    <w:rsid w:val="00F90428"/>
    <w:rsid w:val="00F907C8"/>
    <w:rsid w:val="00F909EA"/>
    <w:rsid w:val="00F91930"/>
    <w:rsid w:val="00F91B83"/>
    <w:rsid w:val="00F92DB2"/>
    <w:rsid w:val="00F93E95"/>
    <w:rsid w:val="00F950D1"/>
    <w:rsid w:val="00F957F3"/>
    <w:rsid w:val="00F962B0"/>
    <w:rsid w:val="00F965C6"/>
    <w:rsid w:val="00F969A9"/>
    <w:rsid w:val="00F979BF"/>
    <w:rsid w:val="00FA001F"/>
    <w:rsid w:val="00FA013F"/>
    <w:rsid w:val="00FA02D9"/>
    <w:rsid w:val="00FA0522"/>
    <w:rsid w:val="00FA099F"/>
    <w:rsid w:val="00FA0C75"/>
    <w:rsid w:val="00FA0FE1"/>
    <w:rsid w:val="00FA115B"/>
    <w:rsid w:val="00FA14BA"/>
    <w:rsid w:val="00FA163D"/>
    <w:rsid w:val="00FA17E7"/>
    <w:rsid w:val="00FA17F9"/>
    <w:rsid w:val="00FA1A96"/>
    <w:rsid w:val="00FA1EFA"/>
    <w:rsid w:val="00FA22F7"/>
    <w:rsid w:val="00FA252D"/>
    <w:rsid w:val="00FA2635"/>
    <w:rsid w:val="00FA289F"/>
    <w:rsid w:val="00FA3789"/>
    <w:rsid w:val="00FA37B9"/>
    <w:rsid w:val="00FA3947"/>
    <w:rsid w:val="00FA4AD4"/>
    <w:rsid w:val="00FA5231"/>
    <w:rsid w:val="00FA5A93"/>
    <w:rsid w:val="00FA5DE4"/>
    <w:rsid w:val="00FA649C"/>
    <w:rsid w:val="00FA67A1"/>
    <w:rsid w:val="00FA693E"/>
    <w:rsid w:val="00FA6A2A"/>
    <w:rsid w:val="00FA6E9A"/>
    <w:rsid w:val="00FA6EDE"/>
    <w:rsid w:val="00FA7094"/>
    <w:rsid w:val="00FA7A98"/>
    <w:rsid w:val="00FA7B16"/>
    <w:rsid w:val="00FB0879"/>
    <w:rsid w:val="00FB0971"/>
    <w:rsid w:val="00FB15EA"/>
    <w:rsid w:val="00FB1E12"/>
    <w:rsid w:val="00FB1E48"/>
    <w:rsid w:val="00FB255D"/>
    <w:rsid w:val="00FB2A88"/>
    <w:rsid w:val="00FB2D78"/>
    <w:rsid w:val="00FB314B"/>
    <w:rsid w:val="00FB3339"/>
    <w:rsid w:val="00FB36D0"/>
    <w:rsid w:val="00FB3941"/>
    <w:rsid w:val="00FB3E56"/>
    <w:rsid w:val="00FB421E"/>
    <w:rsid w:val="00FB4512"/>
    <w:rsid w:val="00FB473F"/>
    <w:rsid w:val="00FB496E"/>
    <w:rsid w:val="00FB4D01"/>
    <w:rsid w:val="00FB5584"/>
    <w:rsid w:val="00FB5DBC"/>
    <w:rsid w:val="00FB6297"/>
    <w:rsid w:val="00FB62E0"/>
    <w:rsid w:val="00FB6783"/>
    <w:rsid w:val="00FB685B"/>
    <w:rsid w:val="00FB6B47"/>
    <w:rsid w:val="00FB6ED9"/>
    <w:rsid w:val="00FB7330"/>
    <w:rsid w:val="00FB7DD0"/>
    <w:rsid w:val="00FC046D"/>
    <w:rsid w:val="00FC08A3"/>
    <w:rsid w:val="00FC08AA"/>
    <w:rsid w:val="00FC09CD"/>
    <w:rsid w:val="00FC163B"/>
    <w:rsid w:val="00FC17BD"/>
    <w:rsid w:val="00FC1A9B"/>
    <w:rsid w:val="00FC1E06"/>
    <w:rsid w:val="00FC232F"/>
    <w:rsid w:val="00FC2730"/>
    <w:rsid w:val="00FC2B81"/>
    <w:rsid w:val="00FC3209"/>
    <w:rsid w:val="00FC3F67"/>
    <w:rsid w:val="00FC45EF"/>
    <w:rsid w:val="00FC470D"/>
    <w:rsid w:val="00FC4A86"/>
    <w:rsid w:val="00FC5369"/>
    <w:rsid w:val="00FC6287"/>
    <w:rsid w:val="00FC757A"/>
    <w:rsid w:val="00FC75F7"/>
    <w:rsid w:val="00FD0001"/>
    <w:rsid w:val="00FD014C"/>
    <w:rsid w:val="00FD1219"/>
    <w:rsid w:val="00FD154E"/>
    <w:rsid w:val="00FD1874"/>
    <w:rsid w:val="00FD1E61"/>
    <w:rsid w:val="00FD1EEE"/>
    <w:rsid w:val="00FD20B7"/>
    <w:rsid w:val="00FD2141"/>
    <w:rsid w:val="00FD263C"/>
    <w:rsid w:val="00FD28CA"/>
    <w:rsid w:val="00FD28CF"/>
    <w:rsid w:val="00FD2AFD"/>
    <w:rsid w:val="00FD3702"/>
    <w:rsid w:val="00FD3C49"/>
    <w:rsid w:val="00FD3DF7"/>
    <w:rsid w:val="00FD3FF3"/>
    <w:rsid w:val="00FD439D"/>
    <w:rsid w:val="00FD441A"/>
    <w:rsid w:val="00FD472B"/>
    <w:rsid w:val="00FD479F"/>
    <w:rsid w:val="00FD4E45"/>
    <w:rsid w:val="00FD505D"/>
    <w:rsid w:val="00FD524D"/>
    <w:rsid w:val="00FD53AE"/>
    <w:rsid w:val="00FD55F6"/>
    <w:rsid w:val="00FD651D"/>
    <w:rsid w:val="00FD681A"/>
    <w:rsid w:val="00FD76B1"/>
    <w:rsid w:val="00FD7884"/>
    <w:rsid w:val="00FD7A5A"/>
    <w:rsid w:val="00FD7B96"/>
    <w:rsid w:val="00FE04B8"/>
    <w:rsid w:val="00FE05D6"/>
    <w:rsid w:val="00FE0968"/>
    <w:rsid w:val="00FE09EA"/>
    <w:rsid w:val="00FE0A1D"/>
    <w:rsid w:val="00FE0B7C"/>
    <w:rsid w:val="00FE1414"/>
    <w:rsid w:val="00FE21B3"/>
    <w:rsid w:val="00FE2333"/>
    <w:rsid w:val="00FE2789"/>
    <w:rsid w:val="00FE27B1"/>
    <w:rsid w:val="00FE27F4"/>
    <w:rsid w:val="00FE29DB"/>
    <w:rsid w:val="00FE2A6B"/>
    <w:rsid w:val="00FE2EC4"/>
    <w:rsid w:val="00FE2F49"/>
    <w:rsid w:val="00FE30F6"/>
    <w:rsid w:val="00FE3ABA"/>
    <w:rsid w:val="00FE3FF7"/>
    <w:rsid w:val="00FE44C9"/>
    <w:rsid w:val="00FE4CD8"/>
    <w:rsid w:val="00FE4D9B"/>
    <w:rsid w:val="00FE4E8D"/>
    <w:rsid w:val="00FE5264"/>
    <w:rsid w:val="00FE5B80"/>
    <w:rsid w:val="00FE5F3B"/>
    <w:rsid w:val="00FE634B"/>
    <w:rsid w:val="00FE63FD"/>
    <w:rsid w:val="00FF070B"/>
    <w:rsid w:val="00FF1095"/>
    <w:rsid w:val="00FF13DC"/>
    <w:rsid w:val="00FF16BE"/>
    <w:rsid w:val="00FF1DE5"/>
    <w:rsid w:val="00FF2163"/>
    <w:rsid w:val="00FF2237"/>
    <w:rsid w:val="00FF360A"/>
    <w:rsid w:val="00FF3B8E"/>
    <w:rsid w:val="00FF4A79"/>
    <w:rsid w:val="00FF5BCD"/>
    <w:rsid w:val="00FF65A5"/>
    <w:rsid w:val="00FF65BA"/>
    <w:rsid w:val="00FF7D47"/>
    <w:rsid w:val="00FF7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FFD"/>
    <w:pPr>
      <w:widowControl w:val="0"/>
      <w:overflowPunct w:val="0"/>
      <w:autoSpaceDE w:val="0"/>
      <w:autoSpaceDN w:val="0"/>
      <w:adjustRightInd w:val="0"/>
      <w:spacing w:before="100" w:after="100"/>
    </w:pPr>
    <w:rPr>
      <w:kern w:val="28"/>
      <w:sz w:val="20"/>
      <w:szCs w:val="20"/>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3">
    <w:name w:val="heading 3"/>
    <w:basedOn w:val="Normale"/>
    <w:next w:val="Normale"/>
    <w:link w:val="Titolo3Carattere"/>
    <w:uiPriority w:val="99"/>
    <w:qFormat/>
    <w:locked/>
    <w:rsid w:val="001D13E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basedOn w:val="Carpredefinitoparagrafo"/>
    <w:link w:val="Corpotesto"/>
    <w:uiPriority w:val="99"/>
    <w:semiHidden/>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basedOn w:val="Carpredefinitoparagrafo"/>
    <w:link w:val="Pidipagina"/>
    <w:uiPriority w:val="99"/>
    <w:semiHidden/>
    <w:locked/>
    <w:rsid w:val="00226782"/>
    <w:rPr>
      <w:rFonts w:cs="Times New Roman"/>
      <w:kern w:val="28"/>
      <w:sz w:val="20"/>
    </w:rPr>
  </w:style>
  <w:style w:type="character" w:styleId="Collegamentoipertestuale">
    <w:name w:val="Hyperlink"/>
    <w:basedOn w:val="Carpredefinitoparagrafo"/>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26782"/>
    <w:rPr>
      <w:rFonts w:cs="Times New Roman"/>
      <w:kern w:val="28"/>
      <w:sz w:val="20"/>
    </w:rPr>
  </w:style>
  <w:style w:type="character" w:styleId="Numeropagina">
    <w:name w:val="page number"/>
    <w:basedOn w:val="Carpredefinitoparagrafo"/>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basedOn w:val="Carpredefinitoparagrafo"/>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basedOn w:val="Carpredefinitoparagrafo"/>
    <w:link w:val="PreformattatoHTML"/>
    <w:uiPriority w:val="99"/>
    <w:semiHidden/>
    <w:locked/>
    <w:rsid w:val="00226782"/>
    <w:rPr>
      <w:rFonts w:ascii="Courier New" w:hAnsi="Courier New" w:cs="Times New Roman"/>
      <w:kern w:val="28"/>
      <w:sz w:val="20"/>
    </w:rPr>
  </w:style>
  <w:style w:type="character" w:styleId="Enfasigrassetto">
    <w:name w:val="Strong"/>
    <w:basedOn w:val="Carpredefinitoparagrafo"/>
    <w:uiPriority w:val="99"/>
    <w:qFormat/>
    <w:rsid w:val="008C6EAA"/>
    <w:rPr>
      <w:rFonts w:cs="Times New Roman"/>
      <w:b/>
    </w:rPr>
  </w:style>
  <w:style w:type="table" w:styleId="Grigliatabella">
    <w:name w:val="Table Grid"/>
    <w:basedOn w:val="Tabellanormale"/>
    <w:uiPriority w:val="99"/>
    <w:locked/>
    <w:rsid w:val="00E75D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uiPriority w:val="99"/>
    <w:semiHidden/>
    <w:rsid w:val="006C145B"/>
  </w:style>
  <w:style w:type="character" w:customStyle="1" w:styleId="TestonotaapidipaginaCarattere">
    <w:name w:val="Testo nota a piè di pagina Carattere"/>
    <w:basedOn w:val="Carpredefinitoparagrafo"/>
    <w:link w:val="Testonotaapidipagina"/>
    <w:uiPriority w:val="99"/>
    <w:semiHidden/>
    <w:locked/>
    <w:rsid w:val="00F05FF9"/>
    <w:rPr>
      <w:rFonts w:cs="Times New Roman"/>
      <w:kern w:val="28"/>
      <w:sz w:val="20"/>
    </w:rPr>
  </w:style>
  <w:style w:type="character" w:styleId="Rimandonotaapidipagina">
    <w:name w:val="footnote reference"/>
    <w:basedOn w:val="Carpredefinitoparagrafo"/>
    <w:uiPriority w:val="99"/>
    <w:semiHidden/>
    <w:rsid w:val="006C145B"/>
    <w:rPr>
      <w:rFonts w:cs="Times New Roman"/>
      <w:vertAlign w:val="superscript"/>
    </w:rPr>
  </w:style>
  <w:style w:type="character" w:styleId="Enfasicorsivo">
    <w:name w:val="Emphasis"/>
    <w:basedOn w:val="Carpredefinitoparagrafo"/>
    <w:uiPriority w:val="99"/>
    <w:qFormat/>
    <w:locked/>
    <w:rsid w:val="00E80FB8"/>
    <w:rPr>
      <w:rFonts w:cs="Times New Roman"/>
      <w:i/>
    </w:rPr>
  </w:style>
  <w:style w:type="paragraph" w:styleId="Paragrafoelenco">
    <w:name w:val="List Paragraph"/>
    <w:basedOn w:val="Normale"/>
    <w:uiPriority w:val="34"/>
    <w:qFormat/>
    <w:rsid w:val="0022535F"/>
    <w:pPr>
      <w:ind w:left="720"/>
      <w:contextualSpacing/>
    </w:pPr>
  </w:style>
  <w:style w:type="character" w:styleId="Collegamentovisitato">
    <w:name w:val="FollowedHyperlink"/>
    <w:basedOn w:val="Carpredefinitoparagrafo"/>
    <w:uiPriority w:val="99"/>
    <w:semiHidden/>
    <w:unhideWhenUsed/>
    <w:rsid w:val="007A6D03"/>
    <w:rPr>
      <w:color w:val="800080" w:themeColor="followedHyperlink"/>
      <w:u w:val="single"/>
    </w:rPr>
  </w:style>
  <w:style w:type="character" w:styleId="Rimandocommento">
    <w:name w:val="annotation reference"/>
    <w:basedOn w:val="Carpredefinitoparagrafo"/>
    <w:uiPriority w:val="99"/>
    <w:unhideWhenUsed/>
    <w:rsid w:val="00EC5B6E"/>
    <w:rPr>
      <w:sz w:val="16"/>
      <w:szCs w:val="16"/>
    </w:rPr>
  </w:style>
  <w:style w:type="paragraph" w:styleId="Testocommento">
    <w:name w:val="annotation text"/>
    <w:basedOn w:val="Normale"/>
    <w:link w:val="TestocommentoCarattere"/>
    <w:uiPriority w:val="99"/>
    <w:unhideWhenUsed/>
    <w:rsid w:val="00EC5B6E"/>
  </w:style>
  <w:style w:type="character" w:customStyle="1" w:styleId="TestocommentoCarattere">
    <w:name w:val="Testo commento Carattere"/>
    <w:basedOn w:val="Carpredefinitoparagrafo"/>
    <w:link w:val="Testocommento"/>
    <w:uiPriority w:val="99"/>
    <w:rsid w:val="00EC5B6E"/>
    <w:rPr>
      <w:kern w:val="28"/>
      <w:sz w:val="20"/>
      <w:szCs w:val="20"/>
    </w:rPr>
  </w:style>
  <w:style w:type="paragraph" w:styleId="Soggettocommento">
    <w:name w:val="annotation subject"/>
    <w:basedOn w:val="Testocommento"/>
    <w:next w:val="Testocommento"/>
    <w:link w:val="SoggettocommentoCarattere"/>
    <w:uiPriority w:val="99"/>
    <w:unhideWhenUsed/>
    <w:rsid w:val="00EC5B6E"/>
    <w:rPr>
      <w:b/>
      <w:bCs/>
    </w:rPr>
  </w:style>
  <w:style w:type="character" w:customStyle="1" w:styleId="SoggettocommentoCarattere">
    <w:name w:val="Soggetto commento Carattere"/>
    <w:basedOn w:val="TestocommentoCarattere"/>
    <w:link w:val="Soggettocommento"/>
    <w:uiPriority w:val="99"/>
    <w:rsid w:val="00EC5B6E"/>
    <w:rPr>
      <w:b/>
      <w:bCs/>
      <w:kern w:val="28"/>
      <w:sz w:val="20"/>
      <w:szCs w:val="20"/>
    </w:rPr>
  </w:style>
  <w:style w:type="character" w:customStyle="1" w:styleId="Titolo3Carattere">
    <w:name w:val="Titolo 3 Carattere"/>
    <w:basedOn w:val="Carpredefinitoparagrafo"/>
    <w:link w:val="Titolo3"/>
    <w:uiPriority w:val="99"/>
    <w:rsid w:val="001D13E6"/>
    <w:rPr>
      <w:rFonts w:ascii="Arial" w:hAnsi="Arial" w:cs="Arial"/>
      <w:b/>
      <w:bCs/>
      <w:kern w:val="28"/>
      <w:sz w:val="26"/>
      <w:szCs w:val="26"/>
    </w:rPr>
  </w:style>
  <w:style w:type="paragraph" w:customStyle="1" w:styleId="Default">
    <w:name w:val="Default"/>
    <w:uiPriority w:val="99"/>
    <w:rsid w:val="001D13E6"/>
    <w:pPr>
      <w:autoSpaceDE w:val="0"/>
      <w:autoSpaceDN w:val="0"/>
      <w:adjustRightInd w:val="0"/>
    </w:pPr>
    <w:rPr>
      <w:rFonts w:ascii="Arial Narrow" w:hAnsi="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FFD"/>
    <w:pPr>
      <w:widowControl w:val="0"/>
      <w:overflowPunct w:val="0"/>
      <w:autoSpaceDE w:val="0"/>
      <w:autoSpaceDN w:val="0"/>
      <w:adjustRightInd w:val="0"/>
      <w:spacing w:before="100" w:after="100"/>
    </w:pPr>
    <w:rPr>
      <w:kern w:val="28"/>
      <w:sz w:val="20"/>
      <w:szCs w:val="20"/>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3">
    <w:name w:val="heading 3"/>
    <w:basedOn w:val="Normale"/>
    <w:next w:val="Normale"/>
    <w:link w:val="Titolo3Carattere"/>
    <w:uiPriority w:val="99"/>
    <w:qFormat/>
    <w:locked/>
    <w:rsid w:val="001D13E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basedOn w:val="Carpredefinitoparagrafo"/>
    <w:link w:val="Corpotesto"/>
    <w:uiPriority w:val="99"/>
    <w:semiHidden/>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basedOn w:val="Carpredefinitoparagrafo"/>
    <w:link w:val="Pidipagina"/>
    <w:uiPriority w:val="99"/>
    <w:semiHidden/>
    <w:locked/>
    <w:rsid w:val="00226782"/>
    <w:rPr>
      <w:rFonts w:cs="Times New Roman"/>
      <w:kern w:val="28"/>
      <w:sz w:val="20"/>
    </w:rPr>
  </w:style>
  <w:style w:type="character" w:styleId="Collegamentoipertestuale">
    <w:name w:val="Hyperlink"/>
    <w:basedOn w:val="Carpredefinitoparagrafo"/>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26782"/>
    <w:rPr>
      <w:rFonts w:cs="Times New Roman"/>
      <w:kern w:val="28"/>
      <w:sz w:val="20"/>
    </w:rPr>
  </w:style>
  <w:style w:type="character" w:styleId="Numeropagina">
    <w:name w:val="page number"/>
    <w:basedOn w:val="Carpredefinitoparagrafo"/>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basedOn w:val="Carpredefinitoparagrafo"/>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basedOn w:val="Carpredefinitoparagrafo"/>
    <w:link w:val="PreformattatoHTML"/>
    <w:uiPriority w:val="99"/>
    <w:semiHidden/>
    <w:locked/>
    <w:rsid w:val="00226782"/>
    <w:rPr>
      <w:rFonts w:ascii="Courier New" w:hAnsi="Courier New" w:cs="Times New Roman"/>
      <w:kern w:val="28"/>
      <w:sz w:val="20"/>
    </w:rPr>
  </w:style>
  <w:style w:type="character" w:styleId="Enfasigrassetto">
    <w:name w:val="Strong"/>
    <w:basedOn w:val="Carpredefinitoparagrafo"/>
    <w:uiPriority w:val="99"/>
    <w:qFormat/>
    <w:rsid w:val="008C6EAA"/>
    <w:rPr>
      <w:rFonts w:cs="Times New Roman"/>
      <w:b/>
    </w:rPr>
  </w:style>
  <w:style w:type="table" w:styleId="Grigliatabella">
    <w:name w:val="Table Grid"/>
    <w:basedOn w:val="Tabellanormale"/>
    <w:uiPriority w:val="99"/>
    <w:locked/>
    <w:rsid w:val="00E75D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uiPriority w:val="99"/>
    <w:semiHidden/>
    <w:rsid w:val="006C145B"/>
  </w:style>
  <w:style w:type="character" w:customStyle="1" w:styleId="TestonotaapidipaginaCarattere">
    <w:name w:val="Testo nota a piè di pagina Carattere"/>
    <w:basedOn w:val="Carpredefinitoparagrafo"/>
    <w:link w:val="Testonotaapidipagina"/>
    <w:uiPriority w:val="99"/>
    <w:semiHidden/>
    <w:locked/>
    <w:rsid w:val="00F05FF9"/>
    <w:rPr>
      <w:rFonts w:cs="Times New Roman"/>
      <w:kern w:val="28"/>
      <w:sz w:val="20"/>
    </w:rPr>
  </w:style>
  <w:style w:type="character" w:styleId="Rimandonotaapidipagina">
    <w:name w:val="footnote reference"/>
    <w:basedOn w:val="Carpredefinitoparagrafo"/>
    <w:uiPriority w:val="99"/>
    <w:semiHidden/>
    <w:rsid w:val="006C145B"/>
    <w:rPr>
      <w:rFonts w:cs="Times New Roman"/>
      <w:vertAlign w:val="superscript"/>
    </w:rPr>
  </w:style>
  <w:style w:type="character" w:styleId="Enfasicorsivo">
    <w:name w:val="Emphasis"/>
    <w:basedOn w:val="Carpredefinitoparagrafo"/>
    <w:uiPriority w:val="99"/>
    <w:qFormat/>
    <w:locked/>
    <w:rsid w:val="00E80FB8"/>
    <w:rPr>
      <w:rFonts w:cs="Times New Roman"/>
      <w:i/>
    </w:rPr>
  </w:style>
  <w:style w:type="paragraph" w:styleId="Paragrafoelenco">
    <w:name w:val="List Paragraph"/>
    <w:basedOn w:val="Normale"/>
    <w:uiPriority w:val="34"/>
    <w:qFormat/>
    <w:rsid w:val="0022535F"/>
    <w:pPr>
      <w:ind w:left="720"/>
      <w:contextualSpacing/>
    </w:pPr>
  </w:style>
  <w:style w:type="character" w:styleId="Collegamentovisitato">
    <w:name w:val="FollowedHyperlink"/>
    <w:basedOn w:val="Carpredefinitoparagrafo"/>
    <w:uiPriority w:val="99"/>
    <w:semiHidden/>
    <w:unhideWhenUsed/>
    <w:rsid w:val="007A6D03"/>
    <w:rPr>
      <w:color w:val="800080" w:themeColor="followedHyperlink"/>
      <w:u w:val="single"/>
    </w:rPr>
  </w:style>
  <w:style w:type="character" w:styleId="Rimandocommento">
    <w:name w:val="annotation reference"/>
    <w:basedOn w:val="Carpredefinitoparagrafo"/>
    <w:uiPriority w:val="99"/>
    <w:unhideWhenUsed/>
    <w:rsid w:val="00EC5B6E"/>
    <w:rPr>
      <w:sz w:val="16"/>
      <w:szCs w:val="16"/>
    </w:rPr>
  </w:style>
  <w:style w:type="paragraph" w:styleId="Testocommento">
    <w:name w:val="annotation text"/>
    <w:basedOn w:val="Normale"/>
    <w:link w:val="TestocommentoCarattere"/>
    <w:uiPriority w:val="99"/>
    <w:unhideWhenUsed/>
    <w:rsid w:val="00EC5B6E"/>
  </w:style>
  <w:style w:type="character" w:customStyle="1" w:styleId="TestocommentoCarattere">
    <w:name w:val="Testo commento Carattere"/>
    <w:basedOn w:val="Carpredefinitoparagrafo"/>
    <w:link w:val="Testocommento"/>
    <w:uiPriority w:val="99"/>
    <w:rsid w:val="00EC5B6E"/>
    <w:rPr>
      <w:kern w:val="28"/>
      <w:sz w:val="20"/>
      <w:szCs w:val="20"/>
    </w:rPr>
  </w:style>
  <w:style w:type="paragraph" w:styleId="Soggettocommento">
    <w:name w:val="annotation subject"/>
    <w:basedOn w:val="Testocommento"/>
    <w:next w:val="Testocommento"/>
    <w:link w:val="SoggettocommentoCarattere"/>
    <w:uiPriority w:val="99"/>
    <w:unhideWhenUsed/>
    <w:rsid w:val="00EC5B6E"/>
    <w:rPr>
      <w:b/>
      <w:bCs/>
    </w:rPr>
  </w:style>
  <w:style w:type="character" w:customStyle="1" w:styleId="SoggettocommentoCarattere">
    <w:name w:val="Soggetto commento Carattere"/>
    <w:basedOn w:val="TestocommentoCarattere"/>
    <w:link w:val="Soggettocommento"/>
    <w:uiPriority w:val="99"/>
    <w:rsid w:val="00EC5B6E"/>
    <w:rPr>
      <w:b/>
      <w:bCs/>
      <w:kern w:val="28"/>
      <w:sz w:val="20"/>
      <w:szCs w:val="20"/>
    </w:rPr>
  </w:style>
  <w:style w:type="character" w:customStyle="1" w:styleId="Titolo3Carattere">
    <w:name w:val="Titolo 3 Carattere"/>
    <w:basedOn w:val="Carpredefinitoparagrafo"/>
    <w:link w:val="Titolo3"/>
    <w:uiPriority w:val="99"/>
    <w:rsid w:val="001D13E6"/>
    <w:rPr>
      <w:rFonts w:ascii="Arial" w:hAnsi="Arial" w:cs="Arial"/>
      <w:b/>
      <w:bCs/>
      <w:kern w:val="28"/>
      <w:sz w:val="26"/>
      <w:szCs w:val="26"/>
    </w:rPr>
  </w:style>
  <w:style w:type="paragraph" w:customStyle="1" w:styleId="Default">
    <w:name w:val="Default"/>
    <w:uiPriority w:val="99"/>
    <w:rsid w:val="001D13E6"/>
    <w:pPr>
      <w:autoSpaceDE w:val="0"/>
      <w:autoSpaceDN w:val="0"/>
      <w:adjustRightInd w:val="0"/>
    </w:pPr>
    <w:rPr>
      <w:rFonts w:ascii="Arial Narrow" w:hAnsi="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53495207">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86673432">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682631987">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57877273">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1067918306">
      <w:bodyDiv w:val="1"/>
      <w:marLeft w:val="0"/>
      <w:marRight w:val="0"/>
      <w:marTop w:val="0"/>
      <w:marBottom w:val="0"/>
      <w:divBdr>
        <w:top w:val="none" w:sz="0" w:space="0" w:color="auto"/>
        <w:left w:val="none" w:sz="0" w:space="0" w:color="auto"/>
        <w:bottom w:val="none" w:sz="0" w:space="0" w:color="auto"/>
        <w:right w:val="none" w:sz="0" w:space="0" w:color="auto"/>
      </w:divBdr>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46233467">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281645528">
      <w:bodyDiv w:val="1"/>
      <w:marLeft w:val="0"/>
      <w:marRight w:val="0"/>
      <w:marTop w:val="0"/>
      <w:marBottom w:val="0"/>
      <w:divBdr>
        <w:top w:val="none" w:sz="0" w:space="0" w:color="auto"/>
        <w:left w:val="none" w:sz="0" w:space="0" w:color="auto"/>
        <w:bottom w:val="none" w:sz="0" w:space="0" w:color="auto"/>
        <w:right w:val="none" w:sz="0" w:space="0" w:color="auto"/>
      </w:divBdr>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62366614">
      <w:bodyDiv w:val="1"/>
      <w:marLeft w:val="0"/>
      <w:marRight w:val="0"/>
      <w:marTop w:val="0"/>
      <w:marBottom w:val="0"/>
      <w:divBdr>
        <w:top w:val="none" w:sz="0" w:space="0" w:color="auto"/>
        <w:left w:val="none" w:sz="0" w:space="0" w:color="auto"/>
        <w:bottom w:val="none" w:sz="0" w:space="0" w:color="auto"/>
        <w:right w:val="none" w:sz="0" w:space="0" w:color="auto"/>
      </w:divBdr>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1436734">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47592312">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3293943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62221066">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1444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tat.it/it/congiuntura" TargetMode="External"/><Relationship Id="rId21" Type="http://schemas.openxmlformats.org/officeDocument/2006/relationships/hyperlink" Target="http://www.istat.it/it/congiuntura" TargetMode="External"/><Relationship Id="rId42" Type="http://schemas.openxmlformats.org/officeDocument/2006/relationships/hyperlink" Target="http://www.istat.it/it/congiuntura" TargetMode="External"/><Relationship Id="rId47" Type="http://schemas.openxmlformats.org/officeDocument/2006/relationships/hyperlink" Target="http://www.istat.it/it/congiuntura" TargetMode="External"/><Relationship Id="rId63" Type="http://schemas.openxmlformats.org/officeDocument/2006/relationships/image" Target="media/image20.wmf"/><Relationship Id="rId68" Type="http://schemas.openxmlformats.org/officeDocument/2006/relationships/oleObject" Target="embeddings/oleObject5.bin"/><Relationship Id="rId84" Type="http://schemas.openxmlformats.org/officeDocument/2006/relationships/oleObject" Target="embeddings/oleObject13.bin"/><Relationship Id="rId89" Type="http://schemas.openxmlformats.org/officeDocument/2006/relationships/image" Target="media/image32.emf"/><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image" Target="media/image14.emf"/><Relationship Id="rId29" Type="http://schemas.openxmlformats.org/officeDocument/2006/relationships/hyperlink" Target="http://www.istat.it/it/congiuntura" TargetMode="External"/><Relationship Id="rId11" Type="http://schemas.openxmlformats.org/officeDocument/2006/relationships/footer" Target="footer2.xml"/><Relationship Id="rId24" Type="http://schemas.openxmlformats.org/officeDocument/2006/relationships/hyperlink" Target="http://www.istat.it/it/congiuntura" TargetMode="External"/><Relationship Id="rId32" Type="http://schemas.openxmlformats.org/officeDocument/2006/relationships/hyperlink" Target="http://www.istat.it/it/congiuntura" TargetMode="External"/><Relationship Id="rId37" Type="http://schemas.openxmlformats.org/officeDocument/2006/relationships/hyperlink" Target="http://www.istat.it/it/congiuntura" TargetMode="External"/><Relationship Id="rId40" Type="http://schemas.openxmlformats.org/officeDocument/2006/relationships/hyperlink" Target="http://www.istat.it/it/congiuntura" TargetMode="External"/><Relationship Id="rId45" Type="http://schemas.openxmlformats.org/officeDocument/2006/relationships/hyperlink" Target="http://www.istat.it/it/congiuntura" TargetMode="External"/><Relationship Id="rId53" Type="http://schemas.openxmlformats.org/officeDocument/2006/relationships/hyperlink" Target="http://www.istat.it/it/congiuntura" TargetMode="External"/><Relationship Id="rId58" Type="http://schemas.openxmlformats.org/officeDocument/2006/relationships/hyperlink" Target="http://dati.istat.it/" TargetMode="External"/><Relationship Id="rId66" Type="http://schemas.openxmlformats.org/officeDocument/2006/relationships/oleObject" Target="embeddings/oleObject4.bin"/><Relationship Id="rId74" Type="http://schemas.openxmlformats.org/officeDocument/2006/relationships/oleObject" Target="embeddings/oleObject8.bin"/><Relationship Id="rId79" Type="http://schemas.openxmlformats.org/officeDocument/2006/relationships/image" Target="media/image28.wmf"/><Relationship Id="rId87" Type="http://schemas.openxmlformats.org/officeDocument/2006/relationships/hyperlink" Target="http://www.istat.it/it/archivio/17484%20"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82" Type="http://schemas.openxmlformats.org/officeDocument/2006/relationships/oleObject" Target="embeddings/oleObject12.bin"/><Relationship Id="rId90" Type="http://schemas.openxmlformats.org/officeDocument/2006/relationships/image" Target="media/image33.emf"/><Relationship Id="rId95" Type="http://schemas.openxmlformats.org/officeDocument/2006/relationships/image" Target="media/image37.wmf"/><Relationship Id="rId19" Type="http://schemas.openxmlformats.org/officeDocument/2006/relationships/hyperlink" Target="http://www.istat.it/it/congiuntura" TargetMode="External"/><Relationship Id="rId14" Type="http://schemas.openxmlformats.org/officeDocument/2006/relationships/image" Target="media/image12.emf"/><Relationship Id="rId22" Type="http://schemas.openxmlformats.org/officeDocument/2006/relationships/hyperlink" Target="http://www.istat.it/it/congiuntura" TargetMode="External"/><Relationship Id="rId27" Type="http://schemas.openxmlformats.org/officeDocument/2006/relationships/hyperlink" Target="http://www.istat.it/it/congiuntura" TargetMode="External"/><Relationship Id="rId30" Type="http://schemas.openxmlformats.org/officeDocument/2006/relationships/hyperlink" Target="http://www.istat.it/it/congiuntura" TargetMode="External"/><Relationship Id="rId35" Type="http://schemas.openxmlformats.org/officeDocument/2006/relationships/hyperlink" Target="http://www.istat.it/it/congiuntura" TargetMode="External"/><Relationship Id="rId43" Type="http://schemas.openxmlformats.org/officeDocument/2006/relationships/hyperlink" Target="http://www.istat.it/it/congiuntura" TargetMode="External"/><Relationship Id="rId48" Type="http://schemas.openxmlformats.org/officeDocument/2006/relationships/hyperlink" Target="http://www.istat.it/it/congiuntura" TargetMode="External"/><Relationship Id="rId56" Type="http://schemas.openxmlformats.org/officeDocument/2006/relationships/image" Target="media/image16.emf"/><Relationship Id="rId64" Type="http://schemas.openxmlformats.org/officeDocument/2006/relationships/oleObject" Target="embeddings/oleObject3.bin"/><Relationship Id="rId69" Type="http://schemas.openxmlformats.org/officeDocument/2006/relationships/image" Target="media/image23.wmf"/><Relationship Id="rId77" Type="http://schemas.openxmlformats.org/officeDocument/2006/relationships/image" Target="media/image27.wmf"/><Relationship Id="rId100"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hyperlink" Target="http://www.istat.it/it/congiuntura" TargetMode="External"/><Relationship Id="rId72" Type="http://schemas.openxmlformats.org/officeDocument/2006/relationships/oleObject" Target="embeddings/oleObject7.bin"/><Relationship Id="rId80" Type="http://schemas.openxmlformats.org/officeDocument/2006/relationships/oleObject" Target="embeddings/oleObject11.bin"/><Relationship Id="rId85" Type="http://schemas.openxmlformats.org/officeDocument/2006/relationships/image" Target="media/image31.wmf"/><Relationship Id="rId93" Type="http://schemas.openxmlformats.org/officeDocument/2006/relationships/image" Target="media/image36.wmf"/><Relationship Id="rId98"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hyperlink" Target="http://www.istat.it/it/congiuntura" TargetMode="External"/><Relationship Id="rId25" Type="http://schemas.openxmlformats.org/officeDocument/2006/relationships/hyperlink" Target="http://www.istat.it/it/congiuntura" TargetMode="External"/><Relationship Id="rId33" Type="http://schemas.openxmlformats.org/officeDocument/2006/relationships/hyperlink" Target="http://www.istat.it/it/congiuntura" TargetMode="External"/><Relationship Id="rId38" Type="http://schemas.openxmlformats.org/officeDocument/2006/relationships/hyperlink" Target="http://www.istat.it/it/congiuntura" TargetMode="External"/><Relationship Id="rId46" Type="http://schemas.openxmlformats.org/officeDocument/2006/relationships/hyperlink" Target="http://www.istat.it/it/congiuntura" TargetMode="External"/><Relationship Id="rId59" Type="http://schemas.openxmlformats.org/officeDocument/2006/relationships/image" Target="media/image18.wmf"/><Relationship Id="rId67" Type="http://schemas.openxmlformats.org/officeDocument/2006/relationships/image" Target="media/image22.wmf"/><Relationship Id="rId103" Type="http://schemas.openxmlformats.org/officeDocument/2006/relationships/theme" Target="theme/theme1.xml"/><Relationship Id="rId20" Type="http://schemas.openxmlformats.org/officeDocument/2006/relationships/hyperlink" Target="http://www.istat.it/it/congiuntura" TargetMode="External"/><Relationship Id="rId41" Type="http://schemas.openxmlformats.org/officeDocument/2006/relationships/hyperlink" Target="http://www.istat.it/it/congiuntura" TargetMode="External"/><Relationship Id="rId54" Type="http://schemas.openxmlformats.org/officeDocument/2006/relationships/hyperlink" Target="http://www.istat.it/it/congiuntura" TargetMode="External"/><Relationship Id="rId62" Type="http://schemas.openxmlformats.org/officeDocument/2006/relationships/oleObject" Target="embeddings/oleObject2.bin"/><Relationship Id="rId70" Type="http://schemas.openxmlformats.org/officeDocument/2006/relationships/oleObject" Target="embeddings/oleObject6.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hyperlink" Target="http://www.istat.it/it/archivio/87824" TargetMode="External"/><Relationship Id="rId91" Type="http://schemas.openxmlformats.org/officeDocument/2006/relationships/image" Target="media/image34.emf"/><Relationship Id="rId96" Type="http://schemas.openxmlformats.org/officeDocument/2006/relationships/oleObject" Target="embeddings/oleObject16.bin"/><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hyperlink" Target="http://www.istat.it/it/congiuntura" TargetMode="External"/><Relationship Id="rId28" Type="http://schemas.openxmlformats.org/officeDocument/2006/relationships/hyperlink" Target="http://www.istat.it/it/congiuntura" TargetMode="External"/><Relationship Id="rId36" Type="http://schemas.openxmlformats.org/officeDocument/2006/relationships/hyperlink" Target="http://www.istat.it/it/congiuntura" TargetMode="External"/><Relationship Id="rId49" Type="http://schemas.openxmlformats.org/officeDocument/2006/relationships/hyperlink" Target="http://www.istat.it/it/congiuntura" TargetMode="External"/><Relationship Id="rId57" Type="http://schemas.openxmlformats.org/officeDocument/2006/relationships/image" Target="media/image17.png"/><Relationship Id="rId10" Type="http://schemas.openxmlformats.org/officeDocument/2006/relationships/footer" Target="footer1.xml"/><Relationship Id="rId31" Type="http://schemas.openxmlformats.org/officeDocument/2006/relationships/hyperlink" Target="http://www.istat.it/it/congiuntura" TargetMode="External"/><Relationship Id="rId44" Type="http://schemas.openxmlformats.org/officeDocument/2006/relationships/hyperlink" Target="http://www.istat.it/it/congiuntura" TargetMode="External"/><Relationship Id="rId52" Type="http://schemas.openxmlformats.org/officeDocument/2006/relationships/hyperlink" Target="http://www.istat.it/it/congiuntura" TargetMode="External"/><Relationship Id="rId60" Type="http://schemas.openxmlformats.org/officeDocument/2006/relationships/oleObject" Target="embeddings/oleObject1.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10.bin"/><Relationship Id="rId81" Type="http://schemas.openxmlformats.org/officeDocument/2006/relationships/image" Target="media/image29.wmf"/><Relationship Id="rId86" Type="http://schemas.openxmlformats.org/officeDocument/2006/relationships/oleObject" Target="embeddings/oleObject14.bin"/><Relationship Id="rId94" Type="http://schemas.openxmlformats.org/officeDocument/2006/relationships/oleObject" Target="embeddings/oleObject15.bin"/><Relationship Id="rId99" Type="http://schemas.openxmlformats.org/officeDocument/2006/relationships/oleObject" Target="embeddings/oleObject17.bin"/><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8.png"/><Relationship Id="rId13" Type="http://schemas.openxmlformats.org/officeDocument/2006/relationships/image" Target="media/image11.png"/><Relationship Id="rId18" Type="http://schemas.openxmlformats.org/officeDocument/2006/relationships/hyperlink" Target="http://www.istat.it/it/congiuntura" TargetMode="External"/><Relationship Id="rId39" Type="http://schemas.openxmlformats.org/officeDocument/2006/relationships/hyperlink" Target="http://www.istat.it/it/congiuntura" TargetMode="External"/><Relationship Id="rId34" Type="http://schemas.openxmlformats.org/officeDocument/2006/relationships/hyperlink" Target="http://www.istat.it/it/congiuntura" TargetMode="External"/><Relationship Id="rId50" Type="http://schemas.openxmlformats.org/officeDocument/2006/relationships/hyperlink" Target="http://www.istat.it/it/congiuntura" TargetMode="External"/><Relationship Id="rId55" Type="http://schemas.openxmlformats.org/officeDocument/2006/relationships/image" Target="media/image15.emf"/><Relationship Id="rId76" Type="http://schemas.openxmlformats.org/officeDocument/2006/relationships/oleObject" Target="embeddings/oleObject9.bin"/><Relationship Id="rId97" Type="http://schemas.openxmlformats.org/officeDocument/2006/relationships/image" Target="media/image38.wmf"/></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3859598/5926625/KS-RA-13-017-EN.PDF/59eb2c1c-da1f-472c-b191-3d0c76521f9b?version=1.0" TargetMode="External"/><Relationship Id="rId2" Type="http://schemas.openxmlformats.org/officeDocument/2006/relationships/hyperlink" Target="http://ec.europa.eu/eurostat/ramon/nomenclatures/index.cfm?TargetUrl=LST_NOM_DTL&amp;StrNom=HICP_2000&amp;StrLanguageCode=EN&amp;IntPcKey=22476519&amp;StrLayoutCode=HIERARCHIC" TargetMode="External"/><Relationship Id="rId1" Type="http://schemas.openxmlformats.org/officeDocument/2006/relationships/hyperlink" Target="http://ec.europa.eu/eurostat/ramon/nomenclatures/index.cfm?TargetUrl=LST_NOM_DTL&amp;StrNom=HICP_2000&amp;StrLanguageCode=EN&amp;IntPcKey=&amp;StrLayou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D705-C154-4DC9-AB1E-692E324C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21</Pages>
  <Words>9406</Words>
  <Characters>53616</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Giugno 2010</vt:lpstr>
    </vt:vector>
  </TitlesOfParts>
  <Company>HP</Company>
  <LinksUpToDate>false</LinksUpToDate>
  <CharactersWithSpaces>62897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Giugno 2010</dc:title>
  <dc:creator>ISTAT</dc:creator>
  <cp:lastModifiedBy>Annamaria AT. Tononi</cp:lastModifiedBy>
  <cp:revision>55</cp:revision>
  <cp:lastPrinted>2016-06-28T10:46:00Z</cp:lastPrinted>
  <dcterms:created xsi:type="dcterms:W3CDTF">2016-06-27T10:20:00Z</dcterms:created>
  <dcterms:modified xsi:type="dcterms:W3CDTF">2016-06-30T08:52:00Z</dcterms:modified>
</cp:coreProperties>
</file>